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82" w:rsidRDefault="00AA367C">
      <w:pPr>
        <w:spacing w:after="0" w:line="240" w:lineRule="auto"/>
        <w:jc w:val="center"/>
        <w:rPr>
          <w:rFonts w:asciiTheme="minorHAnsi" w:hAnsiTheme="minorHAnsi"/>
          <w:b/>
          <w:sz w:val="22"/>
          <w:szCs w:val="22"/>
        </w:rPr>
      </w:pPr>
      <w:r>
        <w:rPr>
          <w:rFonts w:asciiTheme="minorHAnsi" w:hAnsiTheme="minorHAnsi"/>
          <w:b/>
          <w:sz w:val="22"/>
          <w:szCs w:val="22"/>
        </w:rPr>
        <w:t>2103AFE Company Accounting</w:t>
      </w:r>
    </w:p>
    <w:p w:rsidR="00B22282" w:rsidRDefault="00AA367C">
      <w:pPr>
        <w:spacing w:after="0" w:line="240" w:lineRule="auto"/>
        <w:jc w:val="center"/>
        <w:rPr>
          <w:rFonts w:asciiTheme="minorHAnsi" w:hAnsiTheme="minorHAnsi"/>
          <w:b/>
          <w:sz w:val="22"/>
          <w:szCs w:val="22"/>
        </w:rPr>
      </w:pPr>
      <w:r>
        <w:rPr>
          <w:rFonts w:asciiTheme="minorHAnsi" w:hAnsiTheme="minorHAnsi"/>
          <w:b/>
          <w:sz w:val="22"/>
          <w:szCs w:val="22"/>
        </w:rPr>
        <w:t xml:space="preserve">Group Assignment </w:t>
      </w:r>
    </w:p>
    <w:p w:rsidR="00B22282" w:rsidRDefault="00AA367C">
      <w:pPr>
        <w:spacing w:after="0" w:line="240" w:lineRule="auto"/>
        <w:jc w:val="center"/>
        <w:rPr>
          <w:rFonts w:asciiTheme="minorHAnsi" w:hAnsiTheme="minorHAnsi"/>
          <w:b/>
          <w:sz w:val="22"/>
          <w:szCs w:val="22"/>
        </w:rPr>
      </w:pPr>
      <w:r>
        <w:rPr>
          <w:rFonts w:asciiTheme="minorHAnsi" w:hAnsiTheme="minorHAnsi"/>
          <w:b/>
          <w:sz w:val="22"/>
          <w:szCs w:val="22"/>
          <w:lang w:val="en-US" w:eastAsia="zh-CN"/>
        </w:rPr>
        <w:t>Trimester</w:t>
      </w:r>
      <w:r>
        <w:rPr>
          <w:rFonts w:asciiTheme="minorHAnsi" w:hAnsiTheme="minorHAnsi"/>
          <w:b/>
          <w:sz w:val="22"/>
          <w:szCs w:val="22"/>
        </w:rPr>
        <w:t xml:space="preserve"> 1, 201</w:t>
      </w:r>
      <w:r>
        <w:rPr>
          <w:rFonts w:asciiTheme="minorHAnsi" w:hAnsiTheme="minorHAnsi"/>
          <w:b/>
          <w:sz w:val="22"/>
          <w:szCs w:val="22"/>
          <w:lang w:val="en-US" w:eastAsia="zh-CN"/>
        </w:rPr>
        <w:t>7</w:t>
      </w:r>
    </w:p>
    <w:p w:rsidR="00B22282" w:rsidRDefault="00B22282">
      <w:pPr>
        <w:spacing w:after="0" w:line="240" w:lineRule="auto"/>
        <w:jc w:val="both"/>
        <w:rPr>
          <w:rFonts w:asciiTheme="minorHAnsi" w:hAnsiTheme="minorHAnsi" w:cstheme="minorHAnsi"/>
          <w:sz w:val="22"/>
          <w:szCs w:val="22"/>
        </w:rPr>
      </w:pPr>
    </w:p>
    <w:p w:rsidR="00B22282" w:rsidRDefault="00AA367C">
      <w:pP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This assignment requires students to prepare consolidated financial statements in accordance with appropriate Australian Accounting Standards and Corporate Legislation. </w:t>
      </w:r>
    </w:p>
    <w:p w:rsidR="00B22282" w:rsidRDefault="00B22282">
      <w:pPr>
        <w:spacing w:after="0" w:line="240" w:lineRule="auto"/>
        <w:jc w:val="center"/>
        <w:rPr>
          <w:rFonts w:asciiTheme="minorHAnsi" w:hAnsiTheme="minorHAnsi" w:cstheme="minorHAnsi"/>
          <w:b/>
          <w:sz w:val="22"/>
          <w:szCs w:val="22"/>
        </w:rPr>
      </w:pPr>
    </w:p>
    <w:p w:rsidR="00B22282" w:rsidRDefault="00AA367C">
      <w:pPr>
        <w:spacing w:after="0" w:line="240" w:lineRule="auto"/>
        <w:jc w:val="both"/>
        <w:rPr>
          <w:rFonts w:asciiTheme="minorHAnsi" w:hAnsiTheme="minorHAnsi" w:cstheme="minorHAnsi"/>
          <w:b/>
          <w:sz w:val="22"/>
          <w:szCs w:val="22"/>
        </w:rPr>
      </w:pPr>
      <w:r>
        <w:rPr>
          <w:rFonts w:asciiTheme="minorHAnsi" w:hAnsiTheme="minorHAnsi" w:cstheme="minorHAnsi"/>
          <w:b/>
          <w:sz w:val="22"/>
          <w:szCs w:val="22"/>
          <w:u w:val="single"/>
        </w:rPr>
        <w:t>DUE DATES</w:t>
      </w:r>
      <w:r>
        <w:rPr>
          <w:rFonts w:asciiTheme="minorHAnsi" w:hAnsiTheme="minorHAnsi" w:cstheme="minorHAnsi"/>
          <w:b/>
          <w:sz w:val="22"/>
          <w:szCs w:val="22"/>
        </w:rPr>
        <w:t>:</w:t>
      </w:r>
    </w:p>
    <w:p w:rsidR="00B22282" w:rsidRDefault="00AA367C">
      <w:pPr>
        <w:spacing w:after="0" w:line="240" w:lineRule="auto"/>
        <w:ind w:left="1985" w:hanging="1985"/>
        <w:jc w:val="both"/>
        <w:rPr>
          <w:rFonts w:asciiTheme="minorHAnsi" w:hAnsiTheme="minorHAnsi" w:cstheme="minorHAnsi"/>
          <w:b/>
          <w:sz w:val="22"/>
          <w:szCs w:val="22"/>
        </w:rPr>
      </w:pPr>
      <w:r>
        <w:rPr>
          <w:rFonts w:asciiTheme="minorHAnsi" w:hAnsiTheme="minorHAnsi" w:cstheme="minorHAnsi"/>
          <w:b/>
          <w:sz w:val="22"/>
          <w:szCs w:val="22"/>
        </w:rPr>
        <w:t>Assignment: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5.00pm </w:t>
      </w:r>
      <w:r>
        <w:rPr>
          <w:rFonts w:asciiTheme="minorHAnsi" w:hAnsiTheme="minorHAnsi" w:cstheme="minorHAnsi"/>
          <w:b/>
          <w:sz w:val="22"/>
          <w:szCs w:val="22"/>
          <w:lang w:val="en-US" w:eastAsia="zh-CN"/>
        </w:rPr>
        <w:t>Fri</w:t>
      </w:r>
      <w:r>
        <w:rPr>
          <w:rFonts w:asciiTheme="minorHAnsi" w:hAnsiTheme="minorHAnsi" w:cstheme="minorHAnsi"/>
          <w:b/>
          <w:sz w:val="22"/>
          <w:szCs w:val="22"/>
        </w:rPr>
        <w:t xml:space="preserve">day </w:t>
      </w:r>
      <w:r>
        <w:rPr>
          <w:rFonts w:asciiTheme="minorHAnsi" w:hAnsiTheme="minorHAnsi" w:cstheme="minorHAnsi"/>
          <w:b/>
          <w:sz w:val="22"/>
          <w:szCs w:val="22"/>
          <w:lang w:val="en-US" w:eastAsia="zh-CN"/>
        </w:rPr>
        <w:t>19</w:t>
      </w:r>
      <w:r>
        <w:rPr>
          <w:rFonts w:asciiTheme="minorHAnsi" w:hAnsiTheme="minorHAnsi" w:cstheme="minorHAnsi"/>
          <w:b/>
          <w:sz w:val="22"/>
          <w:szCs w:val="22"/>
          <w:vertAlign w:val="superscript"/>
        </w:rPr>
        <w:t>th</w:t>
      </w:r>
      <w:r>
        <w:rPr>
          <w:rFonts w:asciiTheme="minorHAnsi" w:hAnsiTheme="minorHAnsi" w:cstheme="minorHAnsi"/>
          <w:b/>
          <w:sz w:val="22"/>
          <w:szCs w:val="22"/>
        </w:rPr>
        <w:t xml:space="preserve"> May 201</w:t>
      </w:r>
      <w:r>
        <w:rPr>
          <w:rFonts w:asciiTheme="minorHAnsi" w:hAnsiTheme="minorHAnsi" w:cstheme="minorHAnsi"/>
          <w:b/>
          <w:sz w:val="22"/>
          <w:szCs w:val="22"/>
          <w:lang w:val="en-US" w:eastAsia="zh-CN"/>
        </w:rPr>
        <w:t>7</w:t>
      </w:r>
      <w:r>
        <w:rPr>
          <w:rFonts w:asciiTheme="minorHAnsi" w:hAnsiTheme="minorHAnsi" w:cstheme="minorHAnsi"/>
          <w:b/>
          <w:sz w:val="22"/>
          <w:szCs w:val="22"/>
        </w:rPr>
        <w:t xml:space="preserve"> </w:t>
      </w:r>
    </w:p>
    <w:p w:rsidR="00B22282" w:rsidRDefault="00AA367C">
      <w:pPr>
        <w:spacing w:after="0" w:line="240" w:lineRule="auto"/>
        <w:ind w:left="1985" w:hanging="1985"/>
        <w:jc w:val="both"/>
        <w:rPr>
          <w:rFonts w:asciiTheme="minorHAnsi" w:hAnsiTheme="minorHAnsi" w:cstheme="minorHAnsi"/>
          <w:b/>
          <w:color w:val="FF0000"/>
          <w:sz w:val="22"/>
          <w:szCs w:val="22"/>
        </w:rPr>
      </w:pPr>
      <w:r>
        <w:rPr>
          <w:rFonts w:asciiTheme="minorHAnsi" w:hAnsiTheme="minorHAnsi" w:cstheme="minorHAnsi"/>
          <w:b/>
          <w:sz w:val="22"/>
          <w:szCs w:val="22"/>
        </w:rPr>
        <w:t>SPARK ratings: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color w:val="FF0000"/>
          <w:sz w:val="22"/>
          <w:szCs w:val="22"/>
          <w:lang w:val="en-US" w:eastAsia="zh-CN"/>
        </w:rPr>
        <w:t>5:00</w:t>
      </w:r>
      <w:r>
        <w:rPr>
          <w:rFonts w:asciiTheme="minorHAnsi" w:hAnsiTheme="minorHAnsi" w:cstheme="minorHAnsi"/>
          <w:b/>
          <w:color w:val="FF0000"/>
          <w:sz w:val="22"/>
          <w:szCs w:val="22"/>
        </w:rPr>
        <w:t xml:space="preserve">pm </w:t>
      </w:r>
      <w:r>
        <w:rPr>
          <w:rFonts w:asciiTheme="minorHAnsi" w:hAnsiTheme="minorHAnsi" w:cstheme="minorHAnsi"/>
          <w:b/>
          <w:color w:val="FF0000"/>
          <w:sz w:val="22"/>
          <w:szCs w:val="22"/>
          <w:lang w:val="en-US" w:eastAsia="zh-CN"/>
        </w:rPr>
        <w:t>Fri</w:t>
      </w:r>
      <w:r>
        <w:rPr>
          <w:rFonts w:asciiTheme="minorHAnsi" w:hAnsiTheme="minorHAnsi" w:cstheme="minorHAnsi"/>
          <w:b/>
          <w:color w:val="FF0000"/>
          <w:sz w:val="22"/>
          <w:szCs w:val="22"/>
        </w:rPr>
        <w:t xml:space="preserve">day </w:t>
      </w:r>
      <w:r>
        <w:rPr>
          <w:rFonts w:asciiTheme="minorHAnsi" w:hAnsiTheme="minorHAnsi" w:cstheme="minorHAnsi"/>
          <w:b/>
          <w:color w:val="FF0000"/>
          <w:sz w:val="22"/>
          <w:szCs w:val="22"/>
          <w:lang w:val="en-US" w:eastAsia="zh-CN"/>
        </w:rPr>
        <w:t>2</w:t>
      </w:r>
      <w:r>
        <w:rPr>
          <w:rFonts w:asciiTheme="minorHAnsi" w:hAnsiTheme="minorHAnsi" w:cstheme="minorHAnsi"/>
          <w:b/>
          <w:color w:val="FF0000"/>
          <w:sz w:val="22"/>
          <w:szCs w:val="22"/>
          <w:vertAlign w:val="superscript"/>
          <w:lang w:val="en-US" w:eastAsia="zh-CN"/>
        </w:rPr>
        <w:t>nd</w:t>
      </w:r>
      <w:r>
        <w:rPr>
          <w:rFonts w:asciiTheme="minorHAnsi" w:hAnsiTheme="minorHAnsi" w:cstheme="minorHAnsi"/>
          <w:b/>
          <w:color w:val="FF0000"/>
          <w:sz w:val="22"/>
          <w:szCs w:val="22"/>
          <w:lang w:val="en-US" w:eastAsia="zh-CN"/>
        </w:rPr>
        <w:t xml:space="preserve"> </w:t>
      </w:r>
      <w:r>
        <w:rPr>
          <w:rFonts w:asciiTheme="minorHAnsi" w:hAnsiTheme="minorHAnsi" w:cstheme="minorHAnsi"/>
          <w:b/>
          <w:color w:val="FF0000"/>
          <w:sz w:val="22"/>
          <w:szCs w:val="22"/>
        </w:rPr>
        <w:t>June 201</w:t>
      </w:r>
      <w:r>
        <w:rPr>
          <w:rFonts w:asciiTheme="minorHAnsi" w:hAnsiTheme="minorHAnsi" w:cstheme="minorHAnsi"/>
          <w:b/>
          <w:color w:val="FF0000"/>
          <w:sz w:val="22"/>
          <w:szCs w:val="22"/>
          <w:lang w:val="en-US" w:eastAsia="zh-CN"/>
        </w:rPr>
        <w:t>7</w:t>
      </w:r>
    </w:p>
    <w:p w:rsidR="00B22282" w:rsidRDefault="00B22282">
      <w:pPr>
        <w:spacing w:after="0" w:line="240" w:lineRule="auto"/>
        <w:ind w:left="1985" w:hanging="1985"/>
        <w:jc w:val="both"/>
        <w:rPr>
          <w:rFonts w:asciiTheme="minorHAnsi" w:hAnsiTheme="minorHAnsi" w:cstheme="minorHAnsi"/>
          <w:b/>
          <w:sz w:val="22"/>
          <w:szCs w:val="22"/>
        </w:rPr>
      </w:pPr>
    </w:p>
    <w:p w:rsidR="00B22282" w:rsidRDefault="00AA367C">
      <w:pPr>
        <w:tabs>
          <w:tab w:val="left" w:pos="1701"/>
        </w:tabs>
        <w:spacing w:after="0" w:line="240" w:lineRule="auto"/>
        <w:ind w:left="1985" w:hanging="1985"/>
        <w:jc w:val="both"/>
        <w:rPr>
          <w:rFonts w:asciiTheme="minorHAnsi" w:hAnsiTheme="minorHAnsi"/>
          <w:sz w:val="22"/>
          <w:szCs w:val="22"/>
        </w:rPr>
      </w:pPr>
      <w:r>
        <w:rPr>
          <w:rFonts w:asciiTheme="minorHAnsi" w:hAnsiTheme="minorHAnsi" w:cstheme="minorHAnsi"/>
          <w:b/>
          <w:sz w:val="22"/>
          <w:szCs w:val="22"/>
          <w:u w:val="single"/>
        </w:rPr>
        <w:t>TOTAL WEIGHTING:</w:t>
      </w:r>
      <w:r>
        <w:rPr>
          <w:rFonts w:asciiTheme="minorHAnsi" w:hAnsiTheme="minorHAnsi" w:cstheme="minorHAnsi"/>
          <w:b/>
          <w:sz w:val="22"/>
          <w:szCs w:val="22"/>
        </w:rPr>
        <w:tab/>
        <w:t xml:space="preserve"> 20</w:t>
      </w:r>
      <w:r>
        <w:rPr>
          <w:rFonts w:asciiTheme="minorHAnsi" w:hAnsiTheme="minorHAnsi" w:cstheme="minorHAnsi"/>
          <w:sz w:val="22"/>
          <w:szCs w:val="22"/>
        </w:rPr>
        <w:t>%</w:t>
      </w:r>
      <w:r>
        <w:rPr>
          <w:rFonts w:asciiTheme="minorHAnsi" w:hAnsiTheme="minorHAnsi"/>
          <w:sz w:val="22"/>
          <w:szCs w:val="22"/>
        </w:rPr>
        <w:tab/>
      </w:r>
    </w:p>
    <w:p w:rsidR="00B22282" w:rsidRDefault="00AA367C">
      <w:pPr>
        <w:pStyle w:val="EOCquestion"/>
        <w:widowControl/>
        <w:tabs>
          <w:tab w:val="clear" w:pos="850"/>
          <w:tab w:val="clear" w:pos="5940"/>
          <w:tab w:val="clear" w:pos="7340"/>
        </w:tabs>
        <w:suppressAutoHyphens w:val="0"/>
        <w:autoSpaceDE/>
        <w:autoSpaceDN/>
        <w:adjustRightInd/>
        <w:spacing w:after="0" w:line="240" w:lineRule="auto"/>
        <w:ind w:left="0" w:firstLine="567"/>
        <w:textAlignment w:val="auto"/>
        <w:rPr>
          <w:rFonts w:asciiTheme="minorHAnsi" w:hAnsiTheme="minorHAnsi" w:cstheme="minorHAnsi"/>
          <w:b/>
          <w:color w:val="auto"/>
          <w:sz w:val="22"/>
          <w:szCs w:val="22"/>
        </w:rPr>
      </w:pPr>
      <w:r>
        <w:rPr>
          <w:rFonts w:asciiTheme="minorHAnsi" w:hAnsiTheme="minorHAnsi" w:cstheme="minorHAnsi"/>
          <w:b/>
          <w:color w:val="auto"/>
          <w:sz w:val="22"/>
          <w:szCs w:val="22"/>
        </w:rPr>
        <w:t>This is calculated as follow:</w:t>
      </w:r>
    </w:p>
    <w:p w:rsidR="00B22282" w:rsidRDefault="00AA367C">
      <w:pPr>
        <w:pStyle w:val="EOCquestion"/>
        <w:widowControl/>
        <w:tabs>
          <w:tab w:val="clear" w:pos="850"/>
          <w:tab w:val="clear" w:pos="5940"/>
          <w:tab w:val="clear" w:pos="7340"/>
        </w:tabs>
        <w:suppressAutoHyphens w:val="0"/>
        <w:autoSpaceDE/>
        <w:autoSpaceDN/>
        <w:adjustRightInd/>
        <w:spacing w:after="0" w:line="240" w:lineRule="auto"/>
        <w:ind w:left="567" w:firstLine="0"/>
        <w:textAlignment w:val="auto"/>
        <w:rPr>
          <w:rFonts w:asciiTheme="minorHAnsi" w:hAnsiTheme="minorHAnsi" w:cstheme="minorHAnsi"/>
          <w:b/>
          <w:color w:val="auto"/>
          <w:sz w:val="22"/>
          <w:szCs w:val="22"/>
        </w:rPr>
      </w:pPr>
      <w:r>
        <w:rPr>
          <w:rFonts w:asciiTheme="minorHAnsi" w:hAnsiTheme="minorHAnsi" w:cstheme="minorHAnsi"/>
          <w:b/>
          <w:color w:val="auto"/>
          <w:sz w:val="22"/>
          <w:szCs w:val="22"/>
          <w:lang w:val="en-US" w:eastAsia="zh-CN"/>
        </w:rPr>
        <w:t xml:space="preserve">Part A (by </w:t>
      </w:r>
      <w:r>
        <w:rPr>
          <w:rFonts w:asciiTheme="minorHAnsi" w:hAnsiTheme="minorHAnsi" w:cstheme="minorHAnsi"/>
          <w:b/>
          <w:color w:val="auto"/>
          <w:sz w:val="22"/>
          <w:szCs w:val="22"/>
        </w:rPr>
        <w:t>GROUP</w:t>
      </w:r>
      <w:r>
        <w:rPr>
          <w:rFonts w:asciiTheme="minorHAnsi" w:hAnsiTheme="minorHAnsi" w:cstheme="minorHAnsi"/>
          <w:b/>
          <w:color w:val="auto"/>
          <w:sz w:val="22"/>
          <w:szCs w:val="22"/>
          <w:lang w:val="en-US" w:eastAsia="zh-CN"/>
        </w:rPr>
        <w:t>):</w:t>
      </w:r>
      <w:r>
        <w:rPr>
          <w:rFonts w:asciiTheme="minorHAnsi" w:hAnsiTheme="minorHAnsi" w:cstheme="minorHAnsi"/>
          <w:b/>
          <w:color w:val="auto"/>
          <w:sz w:val="22"/>
          <w:szCs w:val="22"/>
        </w:rPr>
        <w:t xml:space="preserve"> </w:t>
      </w:r>
      <w:r>
        <w:rPr>
          <w:rFonts w:asciiTheme="minorHAnsi" w:hAnsiTheme="minorHAnsi" w:cstheme="minorHAnsi"/>
          <w:b/>
          <w:color w:val="auto"/>
          <w:sz w:val="22"/>
          <w:szCs w:val="22"/>
          <w:lang w:val="en-US" w:eastAsia="zh-CN"/>
        </w:rPr>
        <w:t>10</w:t>
      </w:r>
      <w:r>
        <w:rPr>
          <w:rFonts w:asciiTheme="minorHAnsi" w:hAnsiTheme="minorHAnsi" w:cstheme="minorHAnsi"/>
          <w:b/>
          <w:color w:val="auto"/>
          <w:sz w:val="22"/>
          <w:szCs w:val="22"/>
        </w:rPr>
        <w:t xml:space="preserve">% </w:t>
      </w:r>
      <w:r>
        <w:rPr>
          <w:rFonts w:asciiTheme="minorHAnsi" w:hAnsiTheme="minorHAnsi" w:cstheme="minorHAnsi"/>
          <w:b/>
          <w:color w:val="auto"/>
          <w:sz w:val="22"/>
          <w:szCs w:val="22"/>
          <w:lang w:val="en-US" w:eastAsia="zh-CN"/>
        </w:rPr>
        <w:t xml:space="preserve">- </w:t>
      </w:r>
      <w:r>
        <w:rPr>
          <w:rFonts w:asciiTheme="minorHAnsi" w:hAnsiTheme="minorHAnsi" w:cstheme="minorHAnsi"/>
          <w:b/>
          <w:color w:val="auto"/>
          <w:sz w:val="22"/>
          <w:szCs w:val="22"/>
        </w:rPr>
        <w:t>Group mark multiplied by SPA factor*</w:t>
      </w:r>
    </w:p>
    <w:p w:rsidR="00B22282" w:rsidRDefault="00AA367C">
      <w:pPr>
        <w:pStyle w:val="EOCquestion"/>
        <w:widowControl/>
        <w:tabs>
          <w:tab w:val="clear" w:pos="850"/>
          <w:tab w:val="clear" w:pos="5940"/>
          <w:tab w:val="clear" w:pos="7340"/>
        </w:tabs>
        <w:suppressAutoHyphens w:val="0"/>
        <w:autoSpaceDE/>
        <w:autoSpaceDN/>
        <w:adjustRightInd/>
        <w:spacing w:after="0" w:line="240" w:lineRule="auto"/>
        <w:ind w:left="567" w:firstLine="0"/>
        <w:textAlignment w:val="auto"/>
        <w:rPr>
          <w:rFonts w:asciiTheme="minorHAnsi" w:hAnsiTheme="minorHAnsi" w:cstheme="minorHAnsi"/>
          <w:b/>
          <w:color w:val="auto"/>
          <w:sz w:val="22"/>
          <w:szCs w:val="22"/>
        </w:rPr>
      </w:pPr>
      <w:r>
        <w:rPr>
          <w:rFonts w:asciiTheme="minorHAnsi" w:hAnsiTheme="minorHAnsi" w:cstheme="minorHAnsi"/>
          <w:b/>
          <w:color w:val="auto"/>
          <w:sz w:val="22"/>
          <w:szCs w:val="22"/>
          <w:lang w:val="en-US" w:eastAsia="zh-CN"/>
        </w:rPr>
        <w:t xml:space="preserve">Part B (by </w:t>
      </w:r>
      <w:r>
        <w:rPr>
          <w:rFonts w:asciiTheme="minorHAnsi" w:hAnsiTheme="minorHAnsi" w:cstheme="minorHAnsi"/>
          <w:b/>
          <w:color w:val="auto"/>
          <w:sz w:val="22"/>
          <w:szCs w:val="22"/>
        </w:rPr>
        <w:t>INDIVIDUAL</w:t>
      </w:r>
      <w:r>
        <w:rPr>
          <w:rFonts w:asciiTheme="minorHAnsi" w:hAnsiTheme="minorHAnsi" w:cstheme="minorHAnsi"/>
          <w:b/>
          <w:color w:val="auto"/>
          <w:sz w:val="22"/>
          <w:szCs w:val="22"/>
          <w:lang w:val="en-US" w:eastAsia="zh-CN"/>
        </w:rPr>
        <w:t>): 10%</w:t>
      </w:r>
      <w:r>
        <w:rPr>
          <w:rFonts w:asciiTheme="minorHAnsi" w:hAnsiTheme="minorHAnsi" w:cstheme="minorHAnsi"/>
          <w:b/>
          <w:color w:val="auto"/>
          <w:sz w:val="22"/>
          <w:szCs w:val="22"/>
        </w:rPr>
        <w:t xml:space="preserve"> </w:t>
      </w:r>
      <w:r>
        <w:rPr>
          <w:rFonts w:asciiTheme="minorHAnsi" w:hAnsiTheme="minorHAnsi" w:cstheme="minorHAnsi"/>
          <w:b/>
          <w:color w:val="auto"/>
          <w:sz w:val="22"/>
          <w:szCs w:val="22"/>
          <w:lang w:val="en-US" w:eastAsia="zh-CN"/>
        </w:rPr>
        <w:t>- Individual mark</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p>
    <w:p w:rsidR="00B22282" w:rsidRDefault="00B22282">
      <w:pPr>
        <w:spacing w:after="0" w:line="240" w:lineRule="auto"/>
        <w:rPr>
          <w:rFonts w:asciiTheme="minorHAnsi" w:hAnsiTheme="minorHAnsi" w:cstheme="minorHAnsi"/>
          <w:b/>
          <w:sz w:val="22"/>
          <w:szCs w:val="22"/>
          <w:lang w:val="en-GB"/>
        </w:rPr>
      </w:pPr>
    </w:p>
    <w:p w:rsidR="00B22282" w:rsidRDefault="00AA367C">
      <w:pPr>
        <w:pStyle w:val="EOCquestion"/>
        <w:widowControl/>
        <w:tabs>
          <w:tab w:val="clear" w:pos="850"/>
          <w:tab w:val="clear" w:pos="5940"/>
          <w:tab w:val="clear" w:pos="7340"/>
        </w:tabs>
        <w:suppressAutoHyphens w:val="0"/>
        <w:autoSpaceDE/>
        <w:autoSpaceDN/>
        <w:adjustRightInd/>
        <w:spacing w:after="0" w:line="240" w:lineRule="auto"/>
        <w:ind w:left="567" w:firstLine="0"/>
        <w:jc w:val="both"/>
        <w:textAlignment w:val="auto"/>
        <w:rPr>
          <w:rFonts w:asciiTheme="minorHAnsi" w:hAnsiTheme="minorHAnsi" w:cstheme="minorHAnsi"/>
          <w:b/>
          <w:sz w:val="22"/>
          <w:szCs w:val="22"/>
        </w:rPr>
      </w:pPr>
      <w:r>
        <w:rPr>
          <w:rFonts w:asciiTheme="minorHAnsi" w:hAnsiTheme="minorHAnsi" w:cstheme="minorHAnsi"/>
          <w:b/>
          <w:color w:val="auto"/>
          <w:sz w:val="22"/>
          <w:szCs w:val="22"/>
        </w:rPr>
        <w:t xml:space="preserve">*A group mark will be allocated for technical content OUT OF </w:t>
      </w:r>
      <w:r>
        <w:rPr>
          <w:rFonts w:asciiTheme="minorHAnsi" w:hAnsiTheme="minorHAnsi" w:cstheme="minorHAnsi"/>
          <w:b/>
          <w:color w:val="auto"/>
          <w:sz w:val="22"/>
          <w:szCs w:val="22"/>
          <w:lang w:val="en-US" w:eastAsia="zh-CN"/>
        </w:rPr>
        <w:t>1</w:t>
      </w:r>
      <w:r>
        <w:rPr>
          <w:rFonts w:asciiTheme="minorHAnsi" w:hAnsiTheme="minorHAnsi" w:cstheme="minorHAnsi"/>
          <w:b/>
          <w:color w:val="auto"/>
          <w:sz w:val="22"/>
          <w:szCs w:val="22"/>
        </w:rPr>
        <w:t>0%.  This will be adjusted for each student using the SPA factor generated by SPARK.  An adjusted mark will be calculated for each individual student; therefore, each member of the group may receive a different final assessment percentage.</w:t>
      </w:r>
    </w:p>
    <w:p w:rsidR="00B22282" w:rsidRDefault="00B22282">
      <w:pPr>
        <w:tabs>
          <w:tab w:val="left" w:pos="851"/>
        </w:tabs>
        <w:spacing w:after="0" w:line="240" w:lineRule="auto"/>
        <w:jc w:val="both"/>
        <w:rPr>
          <w:rFonts w:asciiTheme="minorHAnsi" w:hAnsiTheme="minorHAnsi" w:cstheme="minorHAnsi"/>
          <w:sz w:val="22"/>
          <w:szCs w:val="22"/>
        </w:rPr>
      </w:pPr>
    </w:p>
    <w:p w:rsidR="00B22282" w:rsidRDefault="00AA367C">
      <w:pPr>
        <w:spacing w:after="0" w:line="240" w:lineRule="auto"/>
        <w:jc w:val="both"/>
        <w:rPr>
          <w:rFonts w:asciiTheme="minorHAnsi" w:hAnsiTheme="minorHAnsi" w:cstheme="minorHAnsi"/>
          <w:sz w:val="22"/>
          <w:szCs w:val="22"/>
        </w:rPr>
      </w:pPr>
      <w:r>
        <w:rPr>
          <w:rFonts w:asciiTheme="minorHAnsi" w:hAnsiTheme="minorHAnsi" w:cstheme="minorHAnsi"/>
          <w:sz w:val="22"/>
          <w:szCs w:val="22"/>
        </w:rPr>
        <w:t>SPARK ratings will be included in relation to the individual mark awarded for Group Assignment only.</w:t>
      </w:r>
    </w:p>
    <w:p w:rsidR="00B22282" w:rsidRDefault="00B22282">
      <w:pPr>
        <w:spacing w:after="0" w:line="240" w:lineRule="auto"/>
        <w:jc w:val="both"/>
        <w:rPr>
          <w:rFonts w:asciiTheme="minorHAnsi" w:hAnsiTheme="minorHAnsi" w:cstheme="minorHAnsi"/>
          <w:sz w:val="22"/>
          <w:szCs w:val="22"/>
        </w:rPr>
      </w:pPr>
    </w:p>
    <w:p w:rsidR="00B22282" w:rsidRDefault="00AA367C">
      <w:pPr>
        <w:spacing w:after="0" w:line="240" w:lineRule="auto"/>
        <w:jc w:val="both"/>
        <w:rPr>
          <w:rFonts w:asciiTheme="minorHAnsi" w:hAnsiTheme="minorHAnsi" w:cstheme="minorHAnsi"/>
          <w:b/>
          <w:sz w:val="22"/>
          <w:szCs w:val="22"/>
        </w:rPr>
      </w:pPr>
      <w:r>
        <w:rPr>
          <w:rFonts w:asciiTheme="minorHAnsi" w:hAnsiTheme="minorHAnsi" w:cstheme="minorHAnsi"/>
          <w:b/>
          <w:sz w:val="22"/>
          <w:szCs w:val="22"/>
        </w:rPr>
        <w:t>REQUIREMENTS:</w:t>
      </w:r>
    </w:p>
    <w:p w:rsidR="00B22282" w:rsidRDefault="00AA367C">
      <w:pPr>
        <w:pStyle w:val="ListParagraph1"/>
        <w:numPr>
          <w:ilvl w:val="0"/>
          <w:numId w:val="1"/>
        </w:numPr>
        <w:spacing w:after="0" w:line="240" w:lineRule="auto"/>
        <w:ind w:left="426" w:hanging="426"/>
        <w:jc w:val="both"/>
        <w:rPr>
          <w:rFonts w:asciiTheme="minorHAnsi" w:hAnsiTheme="minorHAnsi" w:cstheme="minorHAnsi"/>
          <w:sz w:val="22"/>
          <w:szCs w:val="22"/>
        </w:rPr>
      </w:pPr>
      <w:r>
        <w:rPr>
          <w:rFonts w:asciiTheme="minorHAnsi" w:hAnsiTheme="minorHAnsi" w:cstheme="minorHAnsi"/>
          <w:sz w:val="22"/>
          <w:szCs w:val="22"/>
        </w:rPr>
        <w:t>Students are required to complete Group Assignment in a group.</w:t>
      </w:r>
    </w:p>
    <w:p w:rsidR="00B22282" w:rsidRDefault="00AA367C">
      <w:pPr>
        <w:pStyle w:val="ListParagraph1"/>
        <w:numPr>
          <w:ilvl w:val="0"/>
          <w:numId w:val="1"/>
        </w:numPr>
        <w:spacing w:after="0" w:line="240"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All answers </w:t>
      </w:r>
      <w:r>
        <w:rPr>
          <w:rFonts w:asciiTheme="minorHAnsi" w:hAnsiTheme="minorHAnsi" w:cstheme="minorHAnsi"/>
          <w:b/>
          <w:sz w:val="22"/>
          <w:szCs w:val="22"/>
        </w:rPr>
        <w:t>must</w:t>
      </w:r>
      <w:r>
        <w:rPr>
          <w:rFonts w:asciiTheme="minorHAnsi" w:hAnsiTheme="minorHAnsi" w:cstheme="minorHAnsi"/>
          <w:sz w:val="22"/>
          <w:szCs w:val="22"/>
        </w:rPr>
        <w:t xml:space="preserve"> use proper English expression and grammar. </w:t>
      </w:r>
    </w:p>
    <w:p w:rsidR="00B22282" w:rsidRDefault="00AA367C">
      <w:pPr>
        <w:pStyle w:val="CommentText"/>
        <w:rPr>
          <w:rFonts w:asciiTheme="minorHAnsi" w:hAnsiTheme="minorHAnsi" w:cstheme="minorHAnsi"/>
          <w:sz w:val="22"/>
          <w:szCs w:val="22"/>
        </w:rPr>
      </w:pPr>
      <w:r>
        <w:rPr>
          <w:rFonts w:asciiTheme="minorHAnsi" w:hAnsiTheme="minorHAnsi" w:cstheme="minorHAnsi"/>
          <w:sz w:val="22"/>
          <w:szCs w:val="22"/>
        </w:rPr>
        <w:t>Students</w:t>
      </w:r>
      <w:r>
        <w:rPr>
          <w:rFonts w:asciiTheme="minorHAnsi" w:hAnsiTheme="minorHAnsi" w:cstheme="minorHAnsi"/>
          <w:b/>
          <w:sz w:val="22"/>
          <w:szCs w:val="22"/>
        </w:rPr>
        <w:t xml:space="preserve"> must</w:t>
      </w:r>
      <w:r>
        <w:rPr>
          <w:rFonts w:asciiTheme="minorHAnsi" w:hAnsiTheme="minorHAnsi" w:cstheme="minorHAnsi"/>
          <w:sz w:val="22"/>
          <w:szCs w:val="22"/>
        </w:rPr>
        <w:t xml:space="preserve"> complete the Self &amp; Peer Assessment Resource Kit (SPARK) Ratings of the group.  Final ratings must be completed by the due date shown above.</w:t>
      </w:r>
      <w:r>
        <w:rPr>
          <w:rFonts w:asciiTheme="minorHAnsi" w:hAnsiTheme="minorHAnsi" w:cstheme="minorHAnsi" w:hint="eastAsia"/>
          <w:sz w:val="22"/>
          <w:szCs w:val="22"/>
          <w:lang w:val="en-US" w:eastAsia="zh-CN"/>
        </w:rPr>
        <w:t xml:space="preserve"> </w:t>
      </w:r>
      <w:r>
        <w:rPr>
          <w:rFonts w:asciiTheme="minorHAnsi"/>
          <w:sz w:val="22"/>
          <w:szCs w:val="22"/>
        </w:rPr>
        <w:t>Otherwise a penalty of 20% will be given.</w:t>
      </w:r>
    </w:p>
    <w:p w:rsidR="00B22282" w:rsidRDefault="00AA367C">
      <w:pPr>
        <w:pStyle w:val="ListParagraph1"/>
        <w:numPr>
          <w:ilvl w:val="0"/>
          <w:numId w:val="1"/>
        </w:numPr>
        <w:spacing w:after="0" w:line="240"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The assignment is to be </w:t>
      </w:r>
      <w:r>
        <w:rPr>
          <w:rFonts w:asciiTheme="minorHAnsi" w:hAnsiTheme="minorHAnsi" w:cstheme="minorHAnsi"/>
          <w:sz w:val="22"/>
          <w:szCs w:val="22"/>
          <w:u w:val="single"/>
        </w:rPr>
        <w:t>submitted on-line</w:t>
      </w:r>
      <w:r>
        <w:rPr>
          <w:rFonts w:asciiTheme="minorHAnsi" w:hAnsiTheme="minorHAnsi" w:cstheme="minorHAnsi"/>
          <w:sz w:val="22"/>
          <w:szCs w:val="22"/>
        </w:rPr>
        <w:t xml:space="preserve"> by the due date.</w:t>
      </w:r>
    </w:p>
    <w:p w:rsidR="00B22282" w:rsidRDefault="00B22282">
      <w:pPr>
        <w:spacing w:after="0" w:line="240" w:lineRule="auto"/>
        <w:jc w:val="both"/>
        <w:rPr>
          <w:rFonts w:asciiTheme="minorHAnsi" w:hAnsiTheme="minorHAnsi" w:cstheme="minorHAnsi"/>
          <w:b/>
          <w:sz w:val="22"/>
          <w:szCs w:val="22"/>
        </w:rPr>
      </w:pPr>
    </w:p>
    <w:p w:rsidR="00B22282" w:rsidRDefault="00AA367C">
      <w:pPr>
        <w:spacing w:after="0" w:line="240" w:lineRule="auto"/>
        <w:ind w:left="567" w:hanging="567"/>
        <w:jc w:val="both"/>
        <w:rPr>
          <w:rFonts w:asciiTheme="minorHAnsi" w:hAnsiTheme="minorHAnsi" w:cstheme="minorHAnsi"/>
          <w:b/>
          <w:sz w:val="22"/>
          <w:szCs w:val="22"/>
        </w:rPr>
      </w:pPr>
      <w:r>
        <w:rPr>
          <w:rFonts w:asciiTheme="minorHAnsi" w:hAnsiTheme="minorHAnsi" w:cstheme="minorHAnsi"/>
          <w:b/>
          <w:sz w:val="22"/>
          <w:szCs w:val="22"/>
        </w:rPr>
        <w:t>SUBMISSION:</w:t>
      </w:r>
    </w:p>
    <w:p w:rsidR="00B22282" w:rsidRDefault="00AA367C">
      <w:pPr>
        <w:numPr>
          <w:ilvl w:val="0"/>
          <w:numId w:val="2"/>
        </w:numPr>
        <w:spacing w:after="0" w:line="240" w:lineRule="auto"/>
        <w:ind w:left="425" w:hanging="425"/>
        <w:jc w:val="both"/>
        <w:rPr>
          <w:rFonts w:asciiTheme="minorHAnsi" w:hAnsiTheme="minorHAnsi" w:cstheme="minorHAnsi"/>
          <w:sz w:val="22"/>
          <w:szCs w:val="22"/>
        </w:rPr>
      </w:pPr>
      <w:r>
        <w:rPr>
          <w:rFonts w:asciiTheme="minorHAnsi" w:hAnsiTheme="minorHAnsi" w:cstheme="minorHAnsi"/>
          <w:sz w:val="22"/>
          <w:szCs w:val="22"/>
        </w:rPr>
        <w:t>Detailed instructions on how to submit the assignment is available in the Course Home Tab/Assignment Submission on Learning@Griffith.</w:t>
      </w:r>
    </w:p>
    <w:p w:rsidR="00B22282" w:rsidRDefault="00AA367C">
      <w:pPr>
        <w:numPr>
          <w:ilvl w:val="0"/>
          <w:numId w:val="2"/>
        </w:numPr>
        <w:spacing w:after="0" w:line="240" w:lineRule="auto"/>
        <w:ind w:left="425" w:hanging="425"/>
        <w:jc w:val="both"/>
        <w:rPr>
          <w:rFonts w:asciiTheme="minorHAnsi" w:hAnsiTheme="minorHAnsi" w:cstheme="minorHAnsi"/>
          <w:sz w:val="22"/>
          <w:szCs w:val="22"/>
        </w:rPr>
      </w:pPr>
      <w:r>
        <w:rPr>
          <w:rFonts w:asciiTheme="minorHAnsi" w:hAnsiTheme="minorHAnsi" w:cstheme="minorHAnsi"/>
          <w:sz w:val="22"/>
          <w:szCs w:val="22"/>
        </w:rPr>
        <w:t>The assignment must be word-processed using Microsoft Word or Excel, Times New Roman, 12-point font, double-spaced.</w:t>
      </w:r>
    </w:p>
    <w:p w:rsidR="00B22282" w:rsidRDefault="00AA367C">
      <w:pPr>
        <w:numPr>
          <w:ilvl w:val="0"/>
          <w:numId w:val="2"/>
        </w:numPr>
        <w:spacing w:after="0" w:line="240" w:lineRule="auto"/>
        <w:ind w:left="425" w:hanging="425"/>
        <w:jc w:val="both"/>
        <w:rPr>
          <w:rFonts w:asciiTheme="minorHAnsi" w:hAnsiTheme="minorHAnsi" w:cstheme="minorHAnsi"/>
          <w:sz w:val="22"/>
          <w:szCs w:val="22"/>
        </w:rPr>
      </w:pPr>
      <w:r>
        <w:rPr>
          <w:rFonts w:asciiTheme="minorHAnsi" w:hAnsiTheme="minorHAnsi" w:cstheme="minorHAnsi" w:hint="eastAsia"/>
          <w:b/>
          <w:bCs/>
          <w:sz w:val="22"/>
          <w:szCs w:val="22"/>
          <w:u w:val="single"/>
          <w:lang w:val="en-US" w:eastAsia="zh-CN"/>
        </w:rPr>
        <w:t>Part A</w:t>
      </w:r>
      <w:r>
        <w:rPr>
          <w:rFonts w:asciiTheme="minorHAnsi" w:hAnsiTheme="minorHAnsi" w:cstheme="minorHAnsi"/>
          <w:sz w:val="22"/>
          <w:szCs w:val="22"/>
        </w:rPr>
        <w:t xml:space="preserve"> is to be submitted by the group (only one member submits the assignment on behalf of the group).</w:t>
      </w:r>
      <w:r>
        <w:rPr>
          <w:rFonts w:asciiTheme="minorHAnsi" w:hAnsiTheme="minorHAnsi" w:cstheme="minorHAnsi" w:hint="eastAsia"/>
          <w:sz w:val="22"/>
          <w:szCs w:val="22"/>
          <w:lang w:val="en-US" w:eastAsia="zh-CN"/>
        </w:rPr>
        <w:t xml:space="preserve"> </w:t>
      </w:r>
      <w:r>
        <w:rPr>
          <w:rFonts w:asciiTheme="minorHAnsi" w:hAnsiTheme="minorHAnsi" w:cstheme="minorHAnsi" w:hint="eastAsia"/>
          <w:b/>
          <w:bCs/>
          <w:sz w:val="22"/>
          <w:szCs w:val="22"/>
          <w:u w:val="single"/>
          <w:lang w:val="en-US" w:eastAsia="zh-CN"/>
        </w:rPr>
        <w:t>Part B</w:t>
      </w:r>
      <w:r>
        <w:rPr>
          <w:rFonts w:asciiTheme="minorHAnsi" w:hAnsiTheme="minorHAnsi" w:cstheme="minorHAnsi" w:hint="eastAsia"/>
          <w:sz w:val="22"/>
          <w:szCs w:val="22"/>
          <w:lang w:val="en-US" w:eastAsia="zh-CN"/>
        </w:rPr>
        <w:t xml:space="preserve"> is to be submitted by the individual.</w:t>
      </w:r>
    </w:p>
    <w:p w:rsidR="00B22282" w:rsidRDefault="00AA367C">
      <w:pPr>
        <w:numPr>
          <w:ilvl w:val="0"/>
          <w:numId w:val="2"/>
        </w:numPr>
        <w:spacing w:after="0" w:line="240" w:lineRule="auto"/>
        <w:ind w:left="425" w:hanging="425"/>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Each group member </w:t>
      </w:r>
      <w:r>
        <w:rPr>
          <w:rFonts w:asciiTheme="minorHAnsi" w:hAnsiTheme="minorHAnsi" w:cstheme="minorHAnsi"/>
          <w:b/>
          <w:sz w:val="22"/>
          <w:szCs w:val="22"/>
          <w:u w:val="single"/>
        </w:rPr>
        <w:t xml:space="preserve">must </w:t>
      </w:r>
      <w:r>
        <w:rPr>
          <w:rFonts w:asciiTheme="minorHAnsi" w:hAnsiTheme="minorHAnsi" w:cstheme="minorHAnsi"/>
          <w:sz w:val="22"/>
          <w:szCs w:val="22"/>
        </w:rPr>
        <w:t>complete</w:t>
      </w:r>
      <w:r>
        <w:rPr>
          <w:rFonts w:asciiTheme="minorHAnsi" w:hAnsiTheme="minorHAnsi" w:cstheme="minorHAnsi"/>
          <w:color w:val="000000" w:themeColor="text1"/>
          <w:sz w:val="22"/>
          <w:szCs w:val="22"/>
        </w:rPr>
        <w:t xml:space="preserve"> </w:t>
      </w:r>
      <w:r>
        <w:rPr>
          <w:rStyle w:val="Strong"/>
          <w:rFonts w:asciiTheme="minorHAnsi" w:eastAsia="SimSun" w:hAnsiTheme="minorHAnsi" w:cs="SimSun"/>
          <w:b w:val="0"/>
          <w:bCs w:val="0"/>
          <w:color w:val="000000" w:themeColor="text1"/>
          <w:sz w:val="22"/>
          <w:szCs w:val="22"/>
        </w:rPr>
        <w:t>the electronic assignment cover sheet</w:t>
      </w:r>
      <w:r>
        <w:rPr>
          <w:rStyle w:val="Strong"/>
          <w:rFonts w:asciiTheme="minorHAnsi" w:eastAsia="SimSun" w:hAnsiTheme="minorHAnsi" w:cs="SimSun"/>
          <w:b w:val="0"/>
          <w:bCs w:val="0"/>
          <w:color w:val="000000" w:themeColor="text1"/>
          <w:sz w:val="22"/>
          <w:szCs w:val="22"/>
          <w:lang w:val="en-US" w:eastAsia="zh-CN"/>
        </w:rPr>
        <w:t xml:space="preserve"> in “assignment “on L@G</w:t>
      </w:r>
      <w:r>
        <w:rPr>
          <w:rStyle w:val="Strong"/>
          <w:rFonts w:asciiTheme="minorHAnsi" w:eastAsia="SimSun" w:hAnsiTheme="minorHAnsi" w:cs="SimSun"/>
          <w:b w:val="0"/>
          <w:bCs w:val="0"/>
          <w:color w:val="000000" w:themeColor="text1"/>
          <w:sz w:val="22"/>
          <w:szCs w:val="22"/>
        </w:rPr>
        <w:t>.</w:t>
      </w:r>
    </w:p>
    <w:p w:rsidR="00B22282" w:rsidRDefault="00AA367C">
      <w:pPr>
        <w:numPr>
          <w:ilvl w:val="0"/>
          <w:numId w:val="2"/>
        </w:numPr>
        <w:spacing w:after="0" w:line="240" w:lineRule="auto"/>
        <w:ind w:left="425" w:hanging="425"/>
        <w:jc w:val="both"/>
        <w:rPr>
          <w:rFonts w:asciiTheme="minorHAnsi" w:hAnsiTheme="minorHAnsi" w:cstheme="minorHAnsi"/>
          <w:sz w:val="22"/>
          <w:szCs w:val="22"/>
        </w:rPr>
      </w:pPr>
      <w:r>
        <w:rPr>
          <w:rFonts w:asciiTheme="minorHAnsi" w:hAnsiTheme="minorHAnsi" w:cstheme="minorHAnsi"/>
          <w:sz w:val="22"/>
          <w:szCs w:val="22"/>
        </w:rPr>
        <w:t>Marks may be deducted if any of the requirements (1-4) or submission instructions (1</w:t>
      </w:r>
      <w:r>
        <w:rPr>
          <w:rFonts w:asciiTheme="minorHAnsi" w:hAnsiTheme="minorHAnsi" w:cstheme="minorHAnsi"/>
          <w:sz w:val="22"/>
          <w:szCs w:val="22"/>
        </w:rPr>
        <w:noBreakHyphen/>
        <w:t>3) are not completed.</w:t>
      </w:r>
    </w:p>
    <w:p w:rsidR="00B22282" w:rsidRDefault="00B22282">
      <w:pPr>
        <w:spacing w:after="0" w:line="360" w:lineRule="auto"/>
        <w:rPr>
          <w:rFonts w:asciiTheme="minorHAnsi" w:hAnsiTheme="minorHAnsi"/>
          <w:b/>
          <w:sz w:val="22"/>
          <w:szCs w:val="22"/>
          <w:u w:val="single"/>
        </w:rPr>
      </w:pPr>
    </w:p>
    <w:p w:rsidR="00B22282" w:rsidRDefault="00B22282">
      <w:pPr>
        <w:spacing w:after="0" w:line="360" w:lineRule="auto"/>
        <w:jc w:val="center"/>
        <w:rPr>
          <w:rFonts w:asciiTheme="minorHAnsi" w:hAnsiTheme="minorHAnsi"/>
          <w:b/>
          <w:sz w:val="22"/>
          <w:szCs w:val="22"/>
          <w:u w:val="single"/>
        </w:rPr>
      </w:pPr>
    </w:p>
    <w:p w:rsidR="00B22282" w:rsidRDefault="00B22282">
      <w:pPr>
        <w:spacing w:after="0" w:line="360" w:lineRule="auto"/>
        <w:jc w:val="center"/>
        <w:rPr>
          <w:rFonts w:asciiTheme="minorHAnsi" w:hAnsiTheme="minorHAnsi"/>
          <w:b/>
          <w:sz w:val="22"/>
          <w:szCs w:val="22"/>
          <w:u w:val="single"/>
        </w:rPr>
      </w:pPr>
    </w:p>
    <w:p w:rsidR="00B22282" w:rsidRDefault="00AA367C">
      <w:pPr>
        <w:rPr>
          <w:rFonts w:asciiTheme="minorHAnsi" w:hAnsiTheme="minorHAnsi"/>
          <w:b/>
          <w:sz w:val="22"/>
          <w:szCs w:val="22"/>
          <w:u w:val="single"/>
          <w:lang w:val="en-US" w:eastAsia="zh-CN"/>
        </w:rPr>
      </w:pPr>
      <w:r>
        <w:rPr>
          <w:rFonts w:asciiTheme="minorHAnsi" w:hAnsiTheme="minorHAnsi"/>
          <w:b/>
          <w:sz w:val="22"/>
          <w:szCs w:val="22"/>
          <w:u w:val="single"/>
          <w:lang w:val="en-US" w:eastAsia="zh-CN"/>
        </w:rPr>
        <w:br w:type="page"/>
      </w:r>
    </w:p>
    <w:p w:rsidR="00B22282" w:rsidRDefault="00AA367C">
      <w:pPr>
        <w:spacing w:after="0" w:line="240" w:lineRule="auto"/>
        <w:jc w:val="both"/>
        <w:rPr>
          <w:rFonts w:asciiTheme="minorHAnsi" w:hAnsiTheme="minorHAnsi"/>
          <w:b/>
          <w:sz w:val="22"/>
          <w:szCs w:val="22"/>
          <w:u w:val="single"/>
        </w:rPr>
      </w:pPr>
      <w:r>
        <w:rPr>
          <w:rFonts w:asciiTheme="minorHAnsi" w:hAnsiTheme="minorHAnsi"/>
          <w:b/>
          <w:sz w:val="22"/>
          <w:szCs w:val="22"/>
          <w:u w:val="single"/>
          <w:lang w:val="en-US" w:eastAsia="zh-CN"/>
        </w:rPr>
        <w:lastRenderedPageBreak/>
        <w:t xml:space="preserve">Part A (by group): </w:t>
      </w:r>
      <w:r>
        <w:rPr>
          <w:rFonts w:asciiTheme="minorHAnsi" w:hAnsiTheme="minorHAnsi"/>
          <w:b/>
          <w:sz w:val="22"/>
          <w:szCs w:val="22"/>
          <w:u w:val="single"/>
        </w:rPr>
        <w:t xml:space="preserve">Consolidation Case Study:  Perth Ltd and Summer Ltd </w:t>
      </w:r>
    </w:p>
    <w:p w:rsidR="00B22282" w:rsidRDefault="00AA367C">
      <w:pPr>
        <w:spacing w:after="0" w:line="240" w:lineRule="auto"/>
        <w:rPr>
          <w:rFonts w:asciiTheme="minorHAnsi" w:hAnsiTheme="minorHAnsi"/>
          <w:sz w:val="22"/>
          <w:szCs w:val="22"/>
        </w:rPr>
      </w:pPr>
      <w:r>
        <w:rPr>
          <w:rFonts w:asciiTheme="minorHAnsi" w:hAnsiTheme="minorHAnsi"/>
          <w:sz w:val="22"/>
          <w:szCs w:val="22"/>
        </w:rPr>
        <w:t>Perth Ltd acquired 80% of the share capital of Summer Ltd on 1 July 20</w:t>
      </w:r>
      <w:r>
        <w:rPr>
          <w:rFonts w:asciiTheme="minorHAnsi" w:hAnsiTheme="minorHAnsi"/>
          <w:sz w:val="22"/>
          <w:szCs w:val="22"/>
          <w:lang w:val="en-US" w:eastAsia="zh-CN"/>
        </w:rPr>
        <w:t>11</w:t>
      </w:r>
      <w:r>
        <w:rPr>
          <w:rFonts w:asciiTheme="minorHAnsi" w:hAnsiTheme="minorHAnsi"/>
          <w:sz w:val="22"/>
          <w:szCs w:val="22"/>
        </w:rPr>
        <w:t>. The following equity balances appeared in the records of Summer Ltd at the date of acquisition:</w:t>
      </w:r>
    </w:p>
    <w:tbl>
      <w:tblPr>
        <w:tblW w:w="5453" w:type="dxa"/>
        <w:tblCellSpacing w:w="0" w:type="dxa"/>
        <w:tblInd w:w="1125" w:type="dxa"/>
        <w:tblLayout w:type="fixed"/>
        <w:tblCellMar>
          <w:left w:w="0" w:type="dxa"/>
          <w:right w:w="0" w:type="dxa"/>
        </w:tblCellMar>
        <w:tblLook w:val="04A0"/>
      </w:tblPr>
      <w:tblGrid>
        <w:gridCol w:w="3492"/>
        <w:gridCol w:w="890"/>
        <w:gridCol w:w="1071"/>
      </w:tblGrid>
      <w:tr w:rsidR="00B22282">
        <w:trPr>
          <w:trHeight w:val="320"/>
          <w:tblCellSpacing w:w="0" w:type="dxa"/>
        </w:trPr>
        <w:tc>
          <w:tcPr>
            <w:tcW w:w="3492"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Share capital (210,000 shares)</w:t>
            </w:r>
          </w:p>
        </w:tc>
        <w:tc>
          <w:tcPr>
            <w:tcW w:w="890"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071"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$210,000</w:t>
            </w:r>
          </w:p>
        </w:tc>
      </w:tr>
      <w:tr w:rsidR="00B22282">
        <w:trPr>
          <w:trHeight w:val="337"/>
          <w:tblCellSpacing w:w="0" w:type="dxa"/>
        </w:trPr>
        <w:tc>
          <w:tcPr>
            <w:tcW w:w="3492"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General reserve</w:t>
            </w:r>
          </w:p>
        </w:tc>
        <w:tc>
          <w:tcPr>
            <w:tcW w:w="890"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071"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6,100</w:t>
            </w:r>
          </w:p>
        </w:tc>
      </w:tr>
      <w:tr w:rsidR="00B22282">
        <w:trPr>
          <w:trHeight w:val="320"/>
          <w:tblCellSpacing w:w="0" w:type="dxa"/>
        </w:trPr>
        <w:tc>
          <w:tcPr>
            <w:tcW w:w="3492"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Retained earnings</w:t>
            </w:r>
          </w:p>
        </w:tc>
        <w:tc>
          <w:tcPr>
            <w:tcW w:w="890"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071"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75,000</w:t>
            </w:r>
          </w:p>
        </w:tc>
      </w:tr>
    </w:tbl>
    <w:p w:rsidR="00B22282" w:rsidRDefault="00B22282">
      <w:pPr>
        <w:spacing w:after="0" w:line="240" w:lineRule="auto"/>
        <w:rPr>
          <w:rFonts w:asciiTheme="minorHAnsi" w:hAnsiTheme="minorHAnsi"/>
          <w:sz w:val="22"/>
          <w:szCs w:val="22"/>
        </w:rPr>
      </w:pPr>
    </w:p>
    <w:p w:rsidR="00B22282" w:rsidRDefault="00AA367C">
      <w:pPr>
        <w:spacing w:after="0" w:line="240" w:lineRule="auto"/>
        <w:rPr>
          <w:rFonts w:asciiTheme="minorHAnsi" w:hAnsiTheme="minorHAnsi"/>
          <w:sz w:val="22"/>
          <w:szCs w:val="22"/>
        </w:rPr>
      </w:pPr>
      <w:r>
        <w:rPr>
          <w:rFonts w:asciiTheme="minorHAnsi" w:hAnsiTheme="minorHAnsi"/>
          <w:sz w:val="22"/>
          <w:szCs w:val="22"/>
        </w:rPr>
        <w:t>Financial information at 30 June 201</w:t>
      </w:r>
      <w:r>
        <w:rPr>
          <w:rFonts w:asciiTheme="minorHAnsi" w:hAnsiTheme="minorHAnsi"/>
          <w:sz w:val="22"/>
          <w:szCs w:val="22"/>
          <w:lang w:val="en-US" w:eastAsia="zh-CN"/>
        </w:rPr>
        <w:t>6</w:t>
      </w:r>
      <w:r>
        <w:rPr>
          <w:rFonts w:asciiTheme="minorHAnsi" w:hAnsiTheme="minorHAnsi"/>
          <w:sz w:val="22"/>
          <w:szCs w:val="22"/>
        </w:rPr>
        <w:t xml:space="preserve"> of Perth Ltd and its subsidiary company, Summer Ltd, is shown below.</w:t>
      </w:r>
    </w:p>
    <w:tbl>
      <w:tblPr>
        <w:tblW w:w="7670" w:type="dxa"/>
        <w:jc w:val="center"/>
        <w:tblLayout w:type="fixed"/>
        <w:tblLook w:val="04A0"/>
      </w:tblPr>
      <w:tblGrid>
        <w:gridCol w:w="4400"/>
        <w:gridCol w:w="1400"/>
        <w:gridCol w:w="320"/>
        <w:gridCol w:w="1550"/>
      </w:tblGrid>
      <w:tr w:rsidR="00B22282">
        <w:trPr>
          <w:trHeight w:val="315"/>
          <w:jc w:val="center"/>
        </w:trPr>
        <w:tc>
          <w:tcPr>
            <w:tcW w:w="4400" w:type="dxa"/>
            <w:tcBorders>
              <w:top w:val="nil"/>
              <w:left w:val="nil"/>
              <w:bottom w:val="nil"/>
              <w:right w:val="nil"/>
            </w:tcBorders>
            <w:shd w:val="clear" w:color="auto" w:fill="auto"/>
            <w:vAlign w:val="bottom"/>
          </w:tcPr>
          <w:p w:rsidR="00B22282" w:rsidRDefault="00B22282">
            <w:pPr>
              <w:spacing w:after="0" w:line="240" w:lineRule="auto"/>
              <w:rPr>
                <w:rFonts w:asciiTheme="minorHAnsi" w:eastAsia="Times New Roman" w:hAnsiTheme="minorHAnsi"/>
                <w:color w:val="000000"/>
                <w:sz w:val="22"/>
                <w:szCs w:val="22"/>
              </w:rPr>
            </w:pPr>
          </w:p>
        </w:tc>
        <w:tc>
          <w:tcPr>
            <w:tcW w:w="1400" w:type="dxa"/>
            <w:tcBorders>
              <w:top w:val="nil"/>
              <w:left w:val="nil"/>
              <w:bottom w:val="nil"/>
              <w:right w:val="nil"/>
            </w:tcBorders>
            <w:shd w:val="clear" w:color="auto" w:fill="auto"/>
            <w:vAlign w:val="center"/>
          </w:tcPr>
          <w:p w:rsidR="00B22282" w:rsidRDefault="00AA367C">
            <w:pPr>
              <w:spacing w:after="0" w:line="240" w:lineRule="auto"/>
              <w:jc w:val="center"/>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Perth Ltd</w:t>
            </w:r>
          </w:p>
        </w:tc>
        <w:tc>
          <w:tcPr>
            <w:tcW w:w="320" w:type="dxa"/>
            <w:tcBorders>
              <w:top w:val="nil"/>
              <w:left w:val="nil"/>
              <w:bottom w:val="nil"/>
              <w:right w:val="nil"/>
            </w:tcBorders>
            <w:shd w:val="clear" w:color="auto" w:fill="auto"/>
            <w:vAlign w:val="center"/>
          </w:tcPr>
          <w:p w:rsidR="00B22282" w:rsidRDefault="00B22282">
            <w:pPr>
              <w:spacing w:after="0" w:line="240" w:lineRule="auto"/>
              <w:jc w:val="center"/>
              <w:rPr>
                <w:rFonts w:asciiTheme="minorHAnsi" w:eastAsia="Times New Roman" w:hAnsiTheme="minorHAnsi"/>
                <w:b/>
                <w:bCs/>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center"/>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Summer Ltd</w:t>
            </w:r>
          </w:p>
        </w:tc>
      </w:tr>
      <w:tr w:rsidR="00B22282">
        <w:trPr>
          <w:trHeight w:val="330"/>
          <w:jc w:val="center"/>
        </w:trPr>
        <w:tc>
          <w:tcPr>
            <w:tcW w:w="4400" w:type="dxa"/>
            <w:tcBorders>
              <w:top w:val="nil"/>
              <w:left w:val="nil"/>
              <w:bottom w:val="nil"/>
              <w:right w:val="nil"/>
            </w:tcBorders>
            <w:shd w:val="clear" w:color="auto" w:fill="auto"/>
            <w:vAlign w:val="bottom"/>
          </w:tcPr>
          <w:p w:rsidR="00B22282" w:rsidRDefault="00B22282">
            <w:pPr>
              <w:spacing w:after="0" w:line="240" w:lineRule="auto"/>
              <w:rPr>
                <w:rFonts w:asciiTheme="minorHAnsi" w:eastAsia="Times New Roman" w:hAnsiTheme="minorHAnsi"/>
                <w:color w:val="000000"/>
                <w:sz w:val="22"/>
                <w:szCs w:val="22"/>
              </w:rPr>
            </w:pP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center"/>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center"/>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center"/>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Sales revenue</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708,000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492,000</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Cost of sales</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(273,000)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(178,500)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Gross Profit</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435,000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b/>
                <w:bCs/>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313,500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Other revenue:</w:t>
            </w:r>
          </w:p>
        </w:tc>
        <w:tc>
          <w:tcPr>
            <w:tcW w:w="140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Debenture interest</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10,500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Management fees</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10,500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Dividend from Summer Ltd</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16,800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w:t>
            </w:r>
          </w:p>
        </w:tc>
      </w:tr>
      <w:tr w:rsidR="00B22282">
        <w:trPr>
          <w:trHeight w:val="315"/>
          <w:jc w:val="center"/>
        </w:trPr>
        <w:tc>
          <w:tcPr>
            <w:tcW w:w="4400" w:type="dxa"/>
            <w:tcBorders>
              <w:top w:val="nil"/>
              <w:left w:val="nil"/>
              <w:bottom w:val="nil"/>
              <w:right w:val="nil"/>
            </w:tcBorders>
            <w:shd w:val="clear" w:color="auto" w:fill="auto"/>
            <w:vAlign w:val="bottom"/>
          </w:tcPr>
          <w:p w:rsidR="00B22282" w:rsidRDefault="00B22282">
            <w:pPr>
              <w:spacing w:after="0" w:line="240" w:lineRule="auto"/>
              <w:rPr>
                <w:rFonts w:asciiTheme="minorHAnsi" w:eastAsia="Times New Roman" w:hAnsiTheme="minorHAnsi"/>
                <w:color w:val="000000"/>
                <w:sz w:val="22"/>
                <w:szCs w:val="22"/>
              </w:rPr>
            </w:pP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462,300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324,000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Administrative expenses</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(31,500)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(16,800)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Distribution expenses</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(189,000)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(126,000)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Depreciation on machinery</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(31,500)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(31,500)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Finance expenses</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(27,600)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(12,000)</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Other expenses</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(29,400)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(25,200)</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Total operating expenses</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(309,000)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(211,500)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Profit before tax</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153,300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112,500</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Income tax expense</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(52,500)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(34,500)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Profit after tax</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100,800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b/>
                <w:bCs/>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78,000</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Retained earnings (1/7/201</w:t>
            </w:r>
            <w:r>
              <w:rPr>
                <w:rFonts w:asciiTheme="minorHAnsi" w:eastAsia="SimSun" w:hAnsiTheme="minorHAnsi"/>
                <w:color w:val="000000"/>
                <w:sz w:val="22"/>
                <w:szCs w:val="22"/>
                <w:lang w:val="en-US" w:eastAsia="zh-CN"/>
              </w:rPr>
              <w:t>5</w:t>
            </w:r>
            <w:r>
              <w:rPr>
                <w:rFonts w:asciiTheme="minorHAnsi" w:eastAsia="Times New Roman" w:hAnsiTheme="minorHAnsi"/>
                <w:color w:val="000000"/>
                <w:sz w:val="22"/>
                <w:szCs w:val="22"/>
              </w:rPr>
              <w:t>)</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105,000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94,500</w:t>
            </w:r>
          </w:p>
        </w:tc>
      </w:tr>
      <w:tr w:rsidR="00B22282">
        <w:trPr>
          <w:trHeight w:val="315"/>
          <w:jc w:val="center"/>
        </w:trPr>
        <w:tc>
          <w:tcPr>
            <w:tcW w:w="4400" w:type="dxa"/>
            <w:tcBorders>
              <w:top w:val="nil"/>
              <w:left w:val="nil"/>
              <w:bottom w:val="nil"/>
              <w:right w:val="nil"/>
            </w:tcBorders>
            <w:shd w:val="clear" w:color="auto" w:fill="auto"/>
            <w:vAlign w:val="bottom"/>
          </w:tcPr>
          <w:p w:rsidR="00B22282" w:rsidRDefault="00B22282">
            <w:pPr>
              <w:spacing w:after="0" w:line="240" w:lineRule="auto"/>
              <w:rPr>
                <w:rFonts w:asciiTheme="minorHAnsi" w:eastAsia="Times New Roman" w:hAnsiTheme="minorHAnsi"/>
                <w:color w:val="000000"/>
                <w:sz w:val="22"/>
                <w:szCs w:val="22"/>
              </w:rPr>
            </w:pP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205,800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172,500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Transfer to general reserve</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(6,300)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Interim dividend paid</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(31,500)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(21,000)</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Final dividend declared</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(37,800)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(42,000)</w:t>
            </w:r>
          </w:p>
        </w:tc>
      </w:tr>
      <w:tr w:rsidR="00B22282">
        <w:trPr>
          <w:trHeight w:val="330"/>
          <w:jc w:val="center"/>
        </w:trPr>
        <w:tc>
          <w:tcPr>
            <w:tcW w:w="4400" w:type="dxa"/>
            <w:tcBorders>
              <w:top w:val="nil"/>
              <w:left w:val="nil"/>
              <w:bottom w:val="nil"/>
              <w:right w:val="nil"/>
            </w:tcBorders>
            <w:shd w:val="clear" w:color="auto" w:fill="auto"/>
            <w:vAlign w:val="bottom"/>
          </w:tcPr>
          <w:p w:rsidR="00B22282" w:rsidRDefault="00B22282">
            <w:pPr>
              <w:spacing w:after="0" w:line="240" w:lineRule="auto"/>
              <w:rPr>
                <w:rFonts w:asciiTheme="minorHAnsi" w:eastAsia="Times New Roman" w:hAnsiTheme="minorHAnsi"/>
                <w:color w:val="000000"/>
                <w:sz w:val="22"/>
                <w:szCs w:val="22"/>
              </w:rPr>
            </w:pP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(75,600)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(63,000)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Retained earnings (30/6/201</w:t>
            </w:r>
            <w:r>
              <w:rPr>
                <w:rFonts w:asciiTheme="minorHAnsi" w:eastAsia="SimSun" w:hAnsiTheme="minorHAnsi"/>
                <w:color w:val="000000"/>
                <w:sz w:val="22"/>
                <w:szCs w:val="22"/>
                <w:lang w:val="en-US" w:eastAsia="zh-CN"/>
              </w:rPr>
              <w:t>6</w:t>
            </w:r>
            <w:r>
              <w:rPr>
                <w:rFonts w:asciiTheme="minorHAnsi" w:eastAsia="Times New Roman" w:hAnsiTheme="minorHAnsi"/>
                <w:color w:val="000000"/>
                <w:sz w:val="22"/>
                <w:szCs w:val="22"/>
              </w:rPr>
              <w:t>)</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130,200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109,500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General reserve</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105,000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36,000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Other components of equity (1/7/201</w:t>
            </w:r>
            <w:r>
              <w:rPr>
                <w:rFonts w:asciiTheme="minorHAnsi" w:eastAsia="SimSun" w:hAnsiTheme="minorHAnsi"/>
                <w:color w:val="000000"/>
                <w:sz w:val="22"/>
                <w:szCs w:val="22"/>
                <w:lang w:val="en-US" w:eastAsia="zh-CN"/>
              </w:rPr>
              <w:t>5</w:t>
            </w:r>
            <w:r>
              <w:rPr>
                <w:rFonts w:asciiTheme="minorHAnsi" w:eastAsia="Times New Roman" w:hAnsiTheme="minorHAnsi"/>
                <w:color w:val="000000"/>
                <w:sz w:val="22"/>
                <w:szCs w:val="22"/>
              </w:rPr>
              <w:t>)</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27,300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21,000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Share capital</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630,000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210,000</w:t>
            </w:r>
          </w:p>
        </w:tc>
      </w:tr>
    </w:tbl>
    <w:p w:rsidR="00B22282" w:rsidRDefault="00AA367C">
      <w:r>
        <w:br w:type="page"/>
      </w:r>
    </w:p>
    <w:tbl>
      <w:tblPr>
        <w:tblW w:w="7670" w:type="dxa"/>
        <w:jc w:val="center"/>
        <w:tblLayout w:type="fixed"/>
        <w:tblLook w:val="04A0"/>
      </w:tblPr>
      <w:tblGrid>
        <w:gridCol w:w="4400"/>
        <w:gridCol w:w="1400"/>
        <w:gridCol w:w="320"/>
        <w:gridCol w:w="1550"/>
      </w:tblGrid>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lastRenderedPageBreak/>
              <w:t>Liabilities:</w:t>
            </w:r>
          </w:p>
        </w:tc>
        <w:tc>
          <w:tcPr>
            <w:tcW w:w="140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Debentures</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255,000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60,000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Deferred tax liability</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14,700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Current tax liability</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52,500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35,700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Dividend payable</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37,800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42,000</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Other current liabilities</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189,000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25,200</w:t>
            </w:r>
          </w:p>
        </w:tc>
      </w:tr>
      <w:tr w:rsidR="00B22282">
        <w:trPr>
          <w:trHeight w:val="330"/>
          <w:jc w:val="center"/>
        </w:trPr>
        <w:tc>
          <w:tcPr>
            <w:tcW w:w="4400" w:type="dxa"/>
            <w:tcBorders>
              <w:top w:val="nil"/>
              <w:left w:val="nil"/>
              <w:bottom w:val="nil"/>
              <w:right w:val="nil"/>
            </w:tcBorders>
            <w:shd w:val="clear" w:color="auto" w:fill="auto"/>
            <w:vAlign w:val="bottom"/>
          </w:tcPr>
          <w:p w:rsidR="00B22282" w:rsidRDefault="00B22282">
            <w:pPr>
              <w:spacing w:after="0" w:line="240" w:lineRule="auto"/>
              <w:rPr>
                <w:rFonts w:asciiTheme="minorHAnsi" w:eastAsia="Times New Roman" w:hAnsiTheme="minorHAnsi"/>
                <w:color w:val="000000"/>
                <w:sz w:val="22"/>
                <w:szCs w:val="22"/>
              </w:rPr>
            </w:pP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1,426,800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554,100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Cash and cash equivalents</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107,100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6,000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Trade receivables</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68,250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40,200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Inventory</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189,000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58,500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Debentures in Perth Ltd</w:t>
            </w:r>
          </w:p>
        </w:tc>
        <w:tc>
          <w:tcPr>
            <w:tcW w:w="140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105,000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Shares in Summer Ltd</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270,000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Machinery (cost)</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252,000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214,200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Accumulated depreciation – machinery</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(136,500)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(115,500)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Other depreciable assets</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159,600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115,500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Accumulated depreciation</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(84,000)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(52,500)</w:t>
            </w:r>
          </w:p>
        </w:tc>
      </w:tr>
      <w:tr w:rsidR="00B22282">
        <w:trPr>
          <w:trHeight w:val="315"/>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Deferred tax asset</w:t>
            </w:r>
          </w:p>
        </w:tc>
        <w:tc>
          <w:tcPr>
            <w:tcW w:w="140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179,250</w:t>
            </w:r>
          </w:p>
        </w:tc>
        <w:tc>
          <w:tcPr>
            <w:tcW w:w="320" w:type="dxa"/>
            <w:tcBorders>
              <w:top w:val="nil"/>
              <w:left w:val="nil"/>
              <w:bottom w:val="nil"/>
              <w:right w:val="nil"/>
            </w:tcBorders>
            <w:shd w:val="clear" w:color="auto" w:fill="auto"/>
            <w:vAlign w:val="center"/>
          </w:tcPr>
          <w:p w:rsidR="00B22282" w:rsidRDefault="00B22282">
            <w:pPr>
              <w:spacing w:after="0" w:line="240" w:lineRule="auto"/>
              <w:jc w:val="right"/>
              <w:rPr>
                <w:rFonts w:asciiTheme="minorHAnsi" w:eastAsia="Times New Roman" w:hAnsiTheme="minorHAnsi"/>
                <w:color w:val="000000"/>
                <w:sz w:val="22"/>
                <w:szCs w:val="22"/>
              </w:rPr>
            </w:pPr>
          </w:p>
        </w:tc>
        <w:tc>
          <w:tcPr>
            <w:tcW w:w="1550" w:type="dxa"/>
            <w:tcBorders>
              <w:top w:val="nil"/>
              <w:left w:val="nil"/>
              <w:bottom w:val="nil"/>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63,000</w:t>
            </w:r>
          </w:p>
        </w:tc>
      </w:tr>
      <w:tr w:rsidR="00B22282">
        <w:trPr>
          <w:trHeight w:val="330"/>
          <w:jc w:val="center"/>
        </w:trPr>
        <w:tc>
          <w:tcPr>
            <w:tcW w:w="4400" w:type="dxa"/>
            <w:tcBorders>
              <w:top w:val="nil"/>
              <w:left w:val="nil"/>
              <w:bottom w:val="nil"/>
              <w:right w:val="nil"/>
            </w:tcBorders>
            <w:shd w:val="clear" w:color="auto" w:fill="auto"/>
            <w:vAlign w:val="center"/>
          </w:tcPr>
          <w:p w:rsidR="00B22282" w:rsidRDefault="00AA367C">
            <w:pPr>
              <w:spacing w:after="0" w:line="24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Land</w:t>
            </w: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422,100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119,700</w:t>
            </w:r>
          </w:p>
        </w:tc>
      </w:tr>
      <w:tr w:rsidR="00B22282">
        <w:trPr>
          <w:trHeight w:val="330"/>
          <w:jc w:val="center"/>
        </w:trPr>
        <w:tc>
          <w:tcPr>
            <w:tcW w:w="4400" w:type="dxa"/>
            <w:tcBorders>
              <w:top w:val="nil"/>
              <w:left w:val="nil"/>
              <w:bottom w:val="nil"/>
              <w:right w:val="nil"/>
            </w:tcBorders>
            <w:shd w:val="clear" w:color="auto" w:fill="auto"/>
            <w:vAlign w:val="bottom"/>
          </w:tcPr>
          <w:p w:rsidR="00B22282" w:rsidRDefault="00B22282">
            <w:pPr>
              <w:spacing w:after="0" w:line="240" w:lineRule="auto"/>
              <w:rPr>
                <w:rFonts w:asciiTheme="minorHAnsi" w:eastAsia="Times New Roman" w:hAnsiTheme="minorHAnsi"/>
                <w:color w:val="000000"/>
                <w:sz w:val="22"/>
                <w:szCs w:val="22"/>
              </w:rPr>
            </w:pPr>
          </w:p>
        </w:tc>
        <w:tc>
          <w:tcPr>
            <w:tcW w:w="140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1,426,800</w:t>
            </w:r>
          </w:p>
        </w:tc>
        <w:tc>
          <w:tcPr>
            <w:tcW w:w="32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 </w:t>
            </w:r>
          </w:p>
        </w:tc>
        <w:tc>
          <w:tcPr>
            <w:tcW w:w="1550" w:type="dxa"/>
            <w:tcBorders>
              <w:top w:val="nil"/>
              <w:left w:val="nil"/>
              <w:bottom w:val="single" w:sz="8" w:space="0" w:color="auto"/>
              <w:right w:val="nil"/>
            </w:tcBorders>
            <w:shd w:val="clear" w:color="auto" w:fill="auto"/>
            <w:vAlign w:val="center"/>
          </w:tcPr>
          <w:p w:rsidR="00B22282" w:rsidRDefault="00AA367C">
            <w:pPr>
              <w:spacing w:after="0" w:line="240" w:lineRule="auto"/>
              <w:jc w:val="right"/>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554,100</w:t>
            </w:r>
          </w:p>
        </w:tc>
      </w:tr>
    </w:tbl>
    <w:p w:rsidR="00B22282" w:rsidRDefault="00B22282">
      <w:pPr>
        <w:spacing w:after="0" w:line="240" w:lineRule="auto"/>
        <w:rPr>
          <w:rFonts w:asciiTheme="minorHAnsi" w:hAnsiTheme="minorHAnsi"/>
          <w:i/>
          <w:iCs/>
          <w:sz w:val="22"/>
          <w:szCs w:val="22"/>
        </w:rPr>
      </w:pPr>
    </w:p>
    <w:p w:rsidR="00B22282" w:rsidRDefault="00AA367C">
      <w:pPr>
        <w:spacing w:after="0" w:line="240" w:lineRule="auto"/>
        <w:rPr>
          <w:rFonts w:asciiTheme="minorHAnsi" w:hAnsiTheme="minorHAnsi"/>
          <w:b/>
          <w:sz w:val="22"/>
          <w:szCs w:val="22"/>
        </w:rPr>
      </w:pPr>
      <w:r>
        <w:rPr>
          <w:rFonts w:asciiTheme="minorHAnsi" w:hAnsiTheme="minorHAnsi"/>
          <w:b/>
          <w:iCs/>
          <w:sz w:val="22"/>
          <w:szCs w:val="22"/>
        </w:rPr>
        <w:t>Additional information</w:t>
      </w:r>
    </w:p>
    <w:p w:rsidR="00B22282" w:rsidRDefault="00AA367C">
      <w:pPr>
        <w:numPr>
          <w:ilvl w:val="0"/>
          <w:numId w:val="3"/>
        </w:numPr>
        <w:spacing w:after="0" w:line="240" w:lineRule="auto"/>
        <w:ind w:hanging="153"/>
        <w:rPr>
          <w:rFonts w:asciiTheme="minorHAnsi" w:hAnsiTheme="minorHAnsi"/>
          <w:sz w:val="22"/>
          <w:szCs w:val="22"/>
        </w:rPr>
      </w:pPr>
      <w:r>
        <w:rPr>
          <w:rFonts w:asciiTheme="minorHAnsi" w:hAnsiTheme="minorHAnsi"/>
          <w:sz w:val="22"/>
          <w:szCs w:val="22"/>
        </w:rPr>
        <w:t>At 1 July 20</w:t>
      </w:r>
      <w:r>
        <w:rPr>
          <w:rFonts w:asciiTheme="minorHAnsi" w:hAnsiTheme="minorHAnsi"/>
          <w:sz w:val="22"/>
          <w:szCs w:val="22"/>
          <w:lang w:val="en-US" w:eastAsia="zh-CN"/>
        </w:rPr>
        <w:t>11</w:t>
      </w:r>
      <w:r>
        <w:rPr>
          <w:rFonts w:asciiTheme="minorHAnsi" w:hAnsiTheme="minorHAnsi"/>
          <w:sz w:val="22"/>
          <w:szCs w:val="22"/>
        </w:rPr>
        <w:t>, all the identifiable assets and liabilities of Summer Ltd were recorded at fair value except for the following assets:</w:t>
      </w:r>
    </w:p>
    <w:tbl>
      <w:tblPr>
        <w:tblW w:w="6744" w:type="dxa"/>
        <w:jc w:val="center"/>
        <w:tblCellSpacing w:w="0" w:type="dxa"/>
        <w:tblLayout w:type="fixed"/>
        <w:tblCellMar>
          <w:left w:w="0" w:type="dxa"/>
          <w:right w:w="0" w:type="dxa"/>
        </w:tblCellMar>
        <w:tblLook w:val="04A0"/>
      </w:tblPr>
      <w:tblGrid>
        <w:gridCol w:w="3254"/>
        <w:gridCol w:w="283"/>
        <w:gridCol w:w="1843"/>
        <w:gridCol w:w="207"/>
        <w:gridCol w:w="1157"/>
      </w:tblGrid>
      <w:tr w:rsidR="00B22282">
        <w:trPr>
          <w:trHeight w:val="295"/>
          <w:tblCellSpacing w:w="0" w:type="dxa"/>
          <w:jc w:val="center"/>
        </w:trPr>
        <w:tc>
          <w:tcPr>
            <w:tcW w:w="3254"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283"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843" w:type="dxa"/>
            <w:vAlign w:val="center"/>
          </w:tcPr>
          <w:p w:rsidR="00B22282" w:rsidRDefault="00AA367C">
            <w:pPr>
              <w:spacing w:after="0" w:line="240" w:lineRule="auto"/>
              <w:jc w:val="center"/>
              <w:rPr>
                <w:rFonts w:asciiTheme="minorHAnsi" w:hAnsiTheme="minorHAnsi"/>
                <w:sz w:val="22"/>
                <w:szCs w:val="22"/>
              </w:rPr>
            </w:pPr>
            <w:r>
              <w:rPr>
                <w:rFonts w:asciiTheme="minorHAnsi" w:hAnsiTheme="minorHAnsi"/>
                <w:b/>
                <w:bCs/>
                <w:sz w:val="22"/>
                <w:szCs w:val="22"/>
              </w:rPr>
              <w:t>Carrying amount</w:t>
            </w:r>
          </w:p>
        </w:tc>
        <w:tc>
          <w:tcPr>
            <w:tcW w:w="207"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157" w:type="dxa"/>
            <w:vAlign w:val="center"/>
          </w:tcPr>
          <w:p w:rsidR="00B22282" w:rsidRDefault="00AA367C">
            <w:pPr>
              <w:spacing w:after="0" w:line="240" w:lineRule="auto"/>
              <w:jc w:val="center"/>
              <w:rPr>
                <w:rFonts w:asciiTheme="minorHAnsi" w:hAnsiTheme="minorHAnsi"/>
                <w:sz w:val="22"/>
                <w:szCs w:val="22"/>
              </w:rPr>
            </w:pPr>
            <w:r>
              <w:rPr>
                <w:rFonts w:asciiTheme="minorHAnsi" w:hAnsiTheme="minorHAnsi"/>
                <w:b/>
                <w:bCs/>
                <w:sz w:val="22"/>
                <w:szCs w:val="22"/>
              </w:rPr>
              <w:t>Fair value</w:t>
            </w:r>
          </w:p>
        </w:tc>
      </w:tr>
      <w:tr w:rsidR="00B22282">
        <w:trPr>
          <w:trHeight w:val="253"/>
          <w:tblCellSpacing w:w="0" w:type="dxa"/>
          <w:jc w:val="center"/>
        </w:trPr>
        <w:tc>
          <w:tcPr>
            <w:tcW w:w="3254"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Land</w:t>
            </w:r>
          </w:p>
        </w:tc>
        <w:tc>
          <w:tcPr>
            <w:tcW w:w="283"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843"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$62,000</w:t>
            </w:r>
          </w:p>
        </w:tc>
        <w:tc>
          <w:tcPr>
            <w:tcW w:w="207"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157"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$80,000</w:t>
            </w:r>
          </w:p>
        </w:tc>
      </w:tr>
      <w:tr w:rsidR="00B22282">
        <w:trPr>
          <w:trHeight w:val="280"/>
          <w:tblCellSpacing w:w="0" w:type="dxa"/>
          <w:jc w:val="center"/>
        </w:trPr>
        <w:tc>
          <w:tcPr>
            <w:tcW w:w="3254"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Machinery (cost 135,000)</w:t>
            </w:r>
          </w:p>
        </w:tc>
        <w:tc>
          <w:tcPr>
            <w:tcW w:w="283"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843"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105,000</w:t>
            </w:r>
          </w:p>
        </w:tc>
        <w:tc>
          <w:tcPr>
            <w:tcW w:w="207"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 </w:t>
            </w:r>
          </w:p>
        </w:tc>
        <w:tc>
          <w:tcPr>
            <w:tcW w:w="1157"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120,000</w:t>
            </w:r>
          </w:p>
        </w:tc>
      </w:tr>
      <w:tr w:rsidR="00B22282">
        <w:trPr>
          <w:trHeight w:val="295"/>
          <w:tblCellSpacing w:w="0" w:type="dxa"/>
          <w:jc w:val="center"/>
        </w:trPr>
        <w:tc>
          <w:tcPr>
            <w:tcW w:w="3254" w:type="dxa"/>
            <w:vAlign w:val="center"/>
          </w:tcPr>
          <w:p w:rsidR="00B22282" w:rsidRDefault="00AA367C">
            <w:pPr>
              <w:spacing w:after="0" w:line="240" w:lineRule="auto"/>
              <w:rPr>
                <w:rFonts w:asciiTheme="minorHAnsi" w:hAnsiTheme="minorHAnsi"/>
                <w:sz w:val="22"/>
                <w:szCs w:val="22"/>
              </w:rPr>
            </w:pPr>
            <w:r>
              <w:rPr>
                <w:rFonts w:asciiTheme="minorHAnsi" w:hAnsiTheme="minorHAnsi"/>
                <w:sz w:val="22"/>
                <w:szCs w:val="22"/>
              </w:rPr>
              <w:t>Receivable</w:t>
            </w:r>
          </w:p>
        </w:tc>
        <w:tc>
          <w:tcPr>
            <w:tcW w:w="283" w:type="dxa"/>
            <w:vAlign w:val="center"/>
          </w:tcPr>
          <w:p w:rsidR="00B22282" w:rsidRDefault="00B22282">
            <w:pPr>
              <w:spacing w:after="0" w:line="240" w:lineRule="auto"/>
              <w:rPr>
                <w:rFonts w:asciiTheme="minorHAnsi" w:hAnsiTheme="minorHAnsi"/>
                <w:sz w:val="22"/>
                <w:szCs w:val="22"/>
              </w:rPr>
            </w:pPr>
          </w:p>
        </w:tc>
        <w:tc>
          <w:tcPr>
            <w:tcW w:w="1843"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42,000</w:t>
            </w:r>
          </w:p>
        </w:tc>
        <w:tc>
          <w:tcPr>
            <w:tcW w:w="207" w:type="dxa"/>
            <w:vAlign w:val="center"/>
          </w:tcPr>
          <w:p w:rsidR="00B22282" w:rsidRDefault="00B22282">
            <w:pPr>
              <w:spacing w:after="0" w:line="240" w:lineRule="auto"/>
              <w:rPr>
                <w:rFonts w:asciiTheme="minorHAnsi" w:hAnsiTheme="minorHAnsi"/>
                <w:sz w:val="22"/>
                <w:szCs w:val="22"/>
              </w:rPr>
            </w:pPr>
          </w:p>
        </w:tc>
        <w:tc>
          <w:tcPr>
            <w:tcW w:w="1157" w:type="dxa"/>
          </w:tcPr>
          <w:p w:rsidR="00B22282" w:rsidRDefault="00AA367C">
            <w:pPr>
              <w:spacing w:after="0" w:line="240" w:lineRule="auto"/>
              <w:jc w:val="right"/>
              <w:rPr>
                <w:rFonts w:asciiTheme="minorHAnsi" w:hAnsiTheme="minorHAnsi"/>
                <w:sz w:val="22"/>
                <w:szCs w:val="22"/>
              </w:rPr>
            </w:pPr>
            <w:r>
              <w:rPr>
                <w:rFonts w:asciiTheme="minorHAnsi" w:hAnsiTheme="minorHAnsi"/>
                <w:sz w:val="22"/>
                <w:szCs w:val="22"/>
              </w:rPr>
              <w:t>36,000</w:t>
            </w:r>
          </w:p>
        </w:tc>
      </w:tr>
    </w:tbl>
    <w:p w:rsidR="00B22282" w:rsidRDefault="00B22282">
      <w:pPr>
        <w:spacing w:after="0" w:line="240" w:lineRule="auto"/>
        <w:ind w:left="720"/>
        <w:rPr>
          <w:rFonts w:asciiTheme="minorHAnsi" w:hAnsiTheme="minorHAnsi"/>
          <w:sz w:val="22"/>
          <w:szCs w:val="22"/>
        </w:rPr>
      </w:pPr>
    </w:p>
    <w:p w:rsidR="00B22282" w:rsidRDefault="00AA367C">
      <w:pPr>
        <w:spacing w:after="0" w:line="240" w:lineRule="auto"/>
        <w:ind w:left="720"/>
        <w:rPr>
          <w:rFonts w:asciiTheme="minorHAnsi" w:hAnsiTheme="minorHAnsi"/>
          <w:sz w:val="22"/>
          <w:szCs w:val="22"/>
        </w:rPr>
      </w:pPr>
      <w:r>
        <w:rPr>
          <w:rFonts w:asciiTheme="minorHAnsi" w:hAnsiTheme="minorHAnsi"/>
          <w:sz w:val="22"/>
          <w:szCs w:val="22"/>
        </w:rPr>
        <w:t>The machinery has an expected life of 10 years, with benefits being received evenly over that period. Differences between carrying amounts and fair values are adjusted on consolidation. The land on hand at 1 July 20</w:t>
      </w:r>
      <w:r>
        <w:rPr>
          <w:rFonts w:asciiTheme="minorHAnsi" w:hAnsiTheme="minorHAnsi"/>
          <w:sz w:val="22"/>
          <w:szCs w:val="22"/>
          <w:lang w:val="en-US" w:eastAsia="zh-CN"/>
        </w:rPr>
        <w:t>11</w:t>
      </w:r>
      <w:r>
        <w:rPr>
          <w:rFonts w:asciiTheme="minorHAnsi" w:hAnsiTheme="minorHAnsi"/>
          <w:sz w:val="22"/>
          <w:szCs w:val="22"/>
        </w:rPr>
        <w:t xml:space="preserve"> was sold on 1 March 201</w:t>
      </w:r>
      <w:r>
        <w:rPr>
          <w:rFonts w:asciiTheme="minorHAnsi" w:hAnsiTheme="minorHAnsi"/>
          <w:sz w:val="22"/>
          <w:szCs w:val="22"/>
          <w:lang w:val="en-US" w:eastAsia="zh-CN"/>
        </w:rPr>
        <w:t>3</w:t>
      </w:r>
      <w:r>
        <w:rPr>
          <w:rFonts w:asciiTheme="minorHAnsi" w:hAnsiTheme="minorHAnsi"/>
          <w:sz w:val="22"/>
          <w:szCs w:val="22"/>
        </w:rPr>
        <w:t xml:space="preserve"> for $84,000. Any valuation reserve in relation to the land is transferred on consolidation to retained earnings. By 30 June 20</w:t>
      </w:r>
      <w:r>
        <w:rPr>
          <w:rFonts w:asciiTheme="minorHAnsi" w:hAnsiTheme="minorHAnsi"/>
          <w:sz w:val="22"/>
          <w:szCs w:val="22"/>
          <w:lang w:val="en-US" w:eastAsia="zh-CN"/>
        </w:rPr>
        <w:t>12</w:t>
      </w:r>
      <w:r>
        <w:rPr>
          <w:rFonts w:asciiTheme="minorHAnsi" w:hAnsiTheme="minorHAnsi"/>
          <w:sz w:val="22"/>
          <w:szCs w:val="22"/>
        </w:rPr>
        <w:t>, receivables had all been collected.</w:t>
      </w:r>
    </w:p>
    <w:p w:rsidR="00B22282" w:rsidRDefault="00B22282">
      <w:pPr>
        <w:spacing w:after="0" w:line="240" w:lineRule="auto"/>
        <w:ind w:left="720"/>
        <w:rPr>
          <w:rFonts w:asciiTheme="minorHAnsi" w:hAnsiTheme="minorHAnsi"/>
          <w:sz w:val="22"/>
          <w:szCs w:val="22"/>
        </w:rPr>
      </w:pPr>
    </w:p>
    <w:p w:rsidR="00B22282" w:rsidRDefault="00AA367C">
      <w:pPr>
        <w:numPr>
          <w:ilvl w:val="0"/>
          <w:numId w:val="3"/>
        </w:numPr>
        <w:spacing w:after="0" w:line="240" w:lineRule="auto"/>
        <w:ind w:hanging="153"/>
        <w:rPr>
          <w:rFonts w:asciiTheme="minorHAnsi" w:hAnsiTheme="minorHAnsi"/>
          <w:sz w:val="22"/>
          <w:szCs w:val="22"/>
        </w:rPr>
      </w:pPr>
      <w:r>
        <w:rPr>
          <w:rFonts w:asciiTheme="minorHAnsi" w:hAnsiTheme="minorHAnsi"/>
          <w:sz w:val="22"/>
          <w:szCs w:val="22"/>
        </w:rPr>
        <w:t>Perth Ltd uses the full goodwill method. The fair value of the non-controlling interest at 1 July 20</w:t>
      </w:r>
      <w:r>
        <w:rPr>
          <w:rFonts w:asciiTheme="minorHAnsi" w:hAnsiTheme="minorHAnsi"/>
          <w:sz w:val="22"/>
          <w:szCs w:val="22"/>
          <w:lang w:val="en-US" w:eastAsia="zh-CN"/>
        </w:rPr>
        <w:t>11</w:t>
      </w:r>
      <w:r>
        <w:rPr>
          <w:rFonts w:asciiTheme="minorHAnsi" w:hAnsiTheme="minorHAnsi"/>
          <w:sz w:val="22"/>
          <w:szCs w:val="22"/>
        </w:rPr>
        <w:t xml:space="preserve"> was $66,000.</w:t>
      </w:r>
    </w:p>
    <w:p w:rsidR="00B22282" w:rsidRDefault="00B22282">
      <w:pPr>
        <w:spacing w:after="0" w:line="240" w:lineRule="auto"/>
        <w:ind w:left="720"/>
        <w:rPr>
          <w:rFonts w:asciiTheme="minorHAnsi" w:hAnsiTheme="minorHAnsi"/>
          <w:sz w:val="22"/>
          <w:szCs w:val="22"/>
        </w:rPr>
      </w:pPr>
    </w:p>
    <w:p w:rsidR="00B22282" w:rsidRDefault="00AA367C">
      <w:pPr>
        <w:pStyle w:val="ListParagraph1"/>
        <w:numPr>
          <w:ilvl w:val="0"/>
          <w:numId w:val="3"/>
        </w:numPr>
        <w:spacing w:after="0" w:line="240" w:lineRule="auto"/>
        <w:ind w:hanging="153"/>
        <w:rPr>
          <w:rFonts w:asciiTheme="minorHAnsi" w:hAnsiTheme="minorHAnsi"/>
          <w:sz w:val="22"/>
          <w:szCs w:val="22"/>
        </w:rPr>
      </w:pPr>
      <w:r>
        <w:rPr>
          <w:rFonts w:asciiTheme="minorHAnsi" w:hAnsiTheme="minorHAnsi"/>
          <w:sz w:val="22"/>
          <w:szCs w:val="22"/>
        </w:rPr>
        <w:t>Opening inventory of Summer Ltd includes unrealised profit of $5,000 on inventory sold by Perth Ltd. It was all sold by Summer Ltd during the year.</w:t>
      </w:r>
    </w:p>
    <w:p w:rsidR="00B22282" w:rsidRDefault="00B22282">
      <w:pPr>
        <w:spacing w:after="0" w:line="240" w:lineRule="auto"/>
        <w:rPr>
          <w:rFonts w:asciiTheme="minorHAnsi" w:hAnsiTheme="minorHAnsi"/>
          <w:sz w:val="22"/>
          <w:szCs w:val="22"/>
        </w:rPr>
      </w:pPr>
    </w:p>
    <w:p w:rsidR="00B22282" w:rsidRDefault="00AA367C">
      <w:pPr>
        <w:pStyle w:val="ListParagraph1"/>
        <w:numPr>
          <w:ilvl w:val="0"/>
          <w:numId w:val="3"/>
        </w:numPr>
        <w:spacing w:after="0" w:line="240" w:lineRule="auto"/>
        <w:ind w:hanging="153"/>
        <w:rPr>
          <w:rFonts w:asciiTheme="minorHAnsi" w:hAnsiTheme="minorHAnsi"/>
          <w:sz w:val="22"/>
          <w:szCs w:val="22"/>
        </w:rPr>
      </w:pPr>
      <w:r>
        <w:rPr>
          <w:rFonts w:asciiTheme="minorHAnsi" w:hAnsiTheme="minorHAnsi"/>
          <w:sz w:val="22"/>
          <w:szCs w:val="22"/>
        </w:rPr>
        <w:t>During the year, intragroup sales by Summer Ltd to Perth Ltd were $80,000.  The mark-up on cost of all sales was 25%. At 30 June 201</w:t>
      </w:r>
      <w:r>
        <w:rPr>
          <w:rFonts w:asciiTheme="minorHAnsi" w:hAnsiTheme="minorHAnsi"/>
          <w:sz w:val="22"/>
          <w:szCs w:val="22"/>
          <w:lang w:val="en-US" w:eastAsia="zh-CN"/>
        </w:rPr>
        <w:t>6</w:t>
      </w:r>
      <w:r>
        <w:rPr>
          <w:rFonts w:asciiTheme="minorHAnsi" w:hAnsiTheme="minorHAnsi"/>
          <w:sz w:val="22"/>
          <w:szCs w:val="22"/>
        </w:rPr>
        <w:t xml:space="preserve">, Perth Ltd’s inventory included $35,000 of items acquired from Summer Ltd. </w:t>
      </w:r>
    </w:p>
    <w:p w:rsidR="00B22282" w:rsidRDefault="00B22282">
      <w:pPr>
        <w:spacing w:after="0" w:line="240" w:lineRule="auto"/>
        <w:rPr>
          <w:rFonts w:asciiTheme="minorHAnsi" w:hAnsiTheme="minorHAnsi"/>
          <w:sz w:val="22"/>
          <w:szCs w:val="22"/>
        </w:rPr>
      </w:pPr>
    </w:p>
    <w:p w:rsidR="00B22282" w:rsidRDefault="00AA367C">
      <w:pPr>
        <w:pStyle w:val="ListParagraph1"/>
        <w:numPr>
          <w:ilvl w:val="0"/>
          <w:numId w:val="3"/>
        </w:numPr>
        <w:spacing w:after="0" w:line="240" w:lineRule="auto"/>
        <w:ind w:hanging="153"/>
        <w:rPr>
          <w:rFonts w:asciiTheme="minorHAnsi" w:hAnsiTheme="minorHAnsi"/>
          <w:sz w:val="22"/>
          <w:szCs w:val="22"/>
        </w:rPr>
      </w:pPr>
      <w:r>
        <w:rPr>
          <w:rFonts w:asciiTheme="minorHAnsi" w:hAnsiTheme="minorHAnsi"/>
          <w:sz w:val="22"/>
          <w:szCs w:val="22"/>
        </w:rPr>
        <w:t>On 1 January 201</w:t>
      </w:r>
      <w:r>
        <w:rPr>
          <w:rFonts w:asciiTheme="minorHAnsi" w:hAnsiTheme="minorHAnsi"/>
          <w:sz w:val="22"/>
          <w:szCs w:val="22"/>
          <w:lang w:val="en-US" w:eastAsia="zh-CN"/>
        </w:rPr>
        <w:t>6</w:t>
      </w:r>
      <w:r>
        <w:rPr>
          <w:rFonts w:asciiTheme="minorHAnsi" w:hAnsiTheme="minorHAnsi"/>
          <w:sz w:val="22"/>
          <w:szCs w:val="22"/>
        </w:rPr>
        <w:t xml:space="preserve">, Summer Ltd sold an item of inventory to Perth Ltd for $18,000 at a profit before tax of $3000. Perth Ltd had treated this item as an addition to its machinery and depreciated at 10% p.a. straight-line. </w:t>
      </w:r>
    </w:p>
    <w:p w:rsidR="00B22282" w:rsidRDefault="00AA367C">
      <w:pPr>
        <w:pStyle w:val="ListParagraph1"/>
        <w:numPr>
          <w:ilvl w:val="0"/>
          <w:numId w:val="3"/>
        </w:numPr>
        <w:spacing w:after="0" w:line="240" w:lineRule="auto"/>
        <w:ind w:hanging="153"/>
        <w:rPr>
          <w:rFonts w:asciiTheme="minorHAnsi" w:hAnsiTheme="minorHAnsi"/>
          <w:sz w:val="22"/>
          <w:szCs w:val="22"/>
        </w:rPr>
      </w:pPr>
      <w:r>
        <w:rPr>
          <w:rFonts w:asciiTheme="minorHAnsi" w:hAnsiTheme="minorHAnsi"/>
          <w:sz w:val="22"/>
          <w:szCs w:val="22"/>
        </w:rPr>
        <w:lastRenderedPageBreak/>
        <w:t>On 1 April 201</w:t>
      </w:r>
      <w:r>
        <w:rPr>
          <w:rFonts w:asciiTheme="minorHAnsi" w:hAnsiTheme="minorHAnsi"/>
          <w:sz w:val="22"/>
          <w:szCs w:val="22"/>
          <w:lang w:val="en-US" w:eastAsia="zh-CN"/>
        </w:rPr>
        <w:t>6</w:t>
      </w:r>
      <w:r>
        <w:rPr>
          <w:rFonts w:asciiTheme="minorHAnsi" w:hAnsiTheme="minorHAnsi"/>
          <w:sz w:val="22"/>
          <w:szCs w:val="22"/>
        </w:rPr>
        <w:t>, Perth Ltd sold $15,000 worth of inventory to Summer Ltd. The cost of this inventory was $9000. By 30 June 201</w:t>
      </w:r>
      <w:r>
        <w:rPr>
          <w:rFonts w:asciiTheme="minorHAnsi" w:hAnsiTheme="minorHAnsi"/>
          <w:sz w:val="22"/>
          <w:szCs w:val="22"/>
          <w:lang w:val="en-US" w:eastAsia="zh-CN"/>
        </w:rPr>
        <w:t>6</w:t>
      </w:r>
      <w:r>
        <w:rPr>
          <w:rFonts w:asciiTheme="minorHAnsi" w:hAnsiTheme="minorHAnsi"/>
          <w:sz w:val="22"/>
          <w:szCs w:val="22"/>
        </w:rPr>
        <w:t>, Summer Ltd had sold 60% of the inventory to outside entities.</w:t>
      </w:r>
    </w:p>
    <w:p w:rsidR="00B22282" w:rsidRDefault="00B22282">
      <w:pPr>
        <w:pStyle w:val="ListParagraph1"/>
        <w:spacing w:after="0" w:line="240" w:lineRule="auto"/>
        <w:rPr>
          <w:rFonts w:asciiTheme="minorHAnsi" w:hAnsiTheme="minorHAnsi"/>
          <w:sz w:val="22"/>
          <w:szCs w:val="22"/>
        </w:rPr>
      </w:pPr>
    </w:p>
    <w:p w:rsidR="00B22282" w:rsidRDefault="00AA367C">
      <w:pPr>
        <w:pStyle w:val="ListParagraph1"/>
        <w:numPr>
          <w:ilvl w:val="0"/>
          <w:numId w:val="3"/>
        </w:numPr>
        <w:spacing w:after="0" w:line="240" w:lineRule="auto"/>
        <w:ind w:hanging="153"/>
        <w:rPr>
          <w:rFonts w:asciiTheme="minorHAnsi" w:hAnsiTheme="minorHAnsi"/>
          <w:sz w:val="22"/>
          <w:szCs w:val="22"/>
        </w:rPr>
      </w:pPr>
      <w:r>
        <w:rPr>
          <w:rFonts w:asciiTheme="minorHAnsi" w:hAnsiTheme="minorHAnsi"/>
          <w:sz w:val="22"/>
          <w:szCs w:val="22"/>
        </w:rPr>
        <w:t>Some of the items manufactured by Summer Ltd are used as machinery by Perth Ltd. One of the machinery items held by Perth Ltd at 30 June 201</w:t>
      </w:r>
      <w:r>
        <w:rPr>
          <w:rFonts w:asciiTheme="minorHAnsi" w:hAnsiTheme="minorHAnsi"/>
          <w:sz w:val="22"/>
          <w:szCs w:val="22"/>
          <w:lang w:val="en-US" w:eastAsia="zh-CN"/>
        </w:rPr>
        <w:t>6</w:t>
      </w:r>
      <w:r>
        <w:rPr>
          <w:rFonts w:asciiTheme="minorHAnsi" w:hAnsiTheme="minorHAnsi"/>
          <w:sz w:val="22"/>
          <w:szCs w:val="22"/>
        </w:rPr>
        <w:t xml:space="preserve"> was purchased from Summer Ltd on 1 January 201</w:t>
      </w:r>
      <w:r>
        <w:rPr>
          <w:rFonts w:asciiTheme="minorHAnsi" w:hAnsiTheme="minorHAnsi"/>
          <w:sz w:val="22"/>
          <w:szCs w:val="22"/>
          <w:lang w:val="en-US" w:eastAsia="zh-CN"/>
        </w:rPr>
        <w:t>5</w:t>
      </w:r>
      <w:r>
        <w:rPr>
          <w:rFonts w:asciiTheme="minorHAnsi" w:hAnsiTheme="minorHAnsi"/>
          <w:sz w:val="22"/>
          <w:szCs w:val="22"/>
        </w:rPr>
        <w:t>. It had cost Summer Ltd $17,500 to manufacture this item and was sold to Perth Ltd for $25,000. Perth Ltd depreciates such items at 10% p.a. on cost.</w:t>
      </w:r>
    </w:p>
    <w:p w:rsidR="00B22282" w:rsidRDefault="00B22282">
      <w:pPr>
        <w:spacing w:after="0" w:line="240" w:lineRule="auto"/>
        <w:rPr>
          <w:rFonts w:asciiTheme="minorHAnsi" w:hAnsiTheme="minorHAnsi"/>
          <w:sz w:val="22"/>
          <w:szCs w:val="22"/>
        </w:rPr>
      </w:pPr>
    </w:p>
    <w:p w:rsidR="00B22282" w:rsidRDefault="00AA367C">
      <w:pPr>
        <w:numPr>
          <w:ilvl w:val="0"/>
          <w:numId w:val="3"/>
        </w:numPr>
        <w:spacing w:after="0" w:line="240" w:lineRule="auto"/>
        <w:ind w:hanging="153"/>
        <w:rPr>
          <w:rFonts w:asciiTheme="minorHAnsi" w:hAnsiTheme="minorHAnsi"/>
          <w:sz w:val="22"/>
          <w:szCs w:val="22"/>
        </w:rPr>
      </w:pPr>
      <w:r>
        <w:rPr>
          <w:rFonts w:asciiTheme="minorHAnsi" w:hAnsiTheme="minorHAnsi"/>
          <w:sz w:val="22"/>
          <w:szCs w:val="22"/>
        </w:rPr>
        <w:t>Management fees derived by Perth Ltd were all from Summer Ltd and represented charges made for administration.</w:t>
      </w:r>
    </w:p>
    <w:p w:rsidR="00B22282" w:rsidRDefault="00B22282">
      <w:pPr>
        <w:spacing w:after="0" w:line="240" w:lineRule="auto"/>
        <w:rPr>
          <w:rFonts w:asciiTheme="minorHAnsi" w:hAnsiTheme="minorHAnsi"/>
          <w:sz w:val="22"/>
          <w:szCs w:val="22"/>
        </w:rPr>
      </w:pPr>
    </w:p>
    <w:p w:rsidR="00B22282" w:rsidRDefault="00AA367C">
      <w:pPr>
        <w:numPr>
          <w:ilvl w:val="0"/>
          <w:numId w:val="3"/>
        </w:numPr>
        <w:spacing w:after="0" w:line="240" w:lineRule="auto"/>
        <w:ind w:hanging="153"/>
        <w:rPr>
          <w:rFonts w:asciiTheme="minorHAnsi" w:hAnsiTheme="minorHAnsi"/>
          <w:sz w:val="22"/>
          <w:szCs w:val="22"/>
        </w:rPr>
      </w:pPr>
      <w:r>
        <w:rPr>
          <w:rFonts w:asciiTheme="minorHAnsi" w:hAnsiTheme="minorHAnsi"/>
          <w:sz w:val="22"/>
          <w:szCs w:val="22"/>
        </w:rPr>
        <w:t>The tax rate is 30%.</w:t>
      </w:r>
    </w:p>
    <w:p w:rsidR="00B22282" w:rsidRDefault="00B22282">
      <w:pPr>
        <w:pStyle w:val="EOCEheadrequired"/>
        <w:widowControl/>
        <w:suppressAutoHyphens w:val="0"/>
        <w:autoSpaceDE/>
        <w:autoSpaceDN/>
        <w:adjustRightInd/>
        <w:spacing w:before="0" w:after="0" w:line="240" w:lineRule="auto"/>
        <w:textAlignment w:val="auto"/>
        <w:rPr>
          <w:rFonts w:asciiTheme="minorHAnsi" w:hAnsiTheme="minorHAnsi"/>
          <w:color w:val="auto"/>
          <w:sz w:val="22"/>
          <w:szCs w:val="22"/>
          <w:u w:val="single"/>
        </w:rPr>
      </w:pPr>
    </w:p>
    <w:p w:rsidR="00B22282" w:rsidRDefault="00B22282">
      <w:pPr>
        <w:pStyle w:val="EOCEheadrequired"/>
        <w:widowControl/>
        <w:suppressAutoHyphens w:val="0"/>
        <w:autoSpaceDE/>
        <w:autoSpaceDN/>
        <w:adjustRightInd/>
        <w:spacing w:before="0" w:after="0" w:line="240" w:lineRule="auto"/>
        <w:textAlignment w:val="auto"/>
        <w:rPr>
          <w:rFonts w:asciiTheme="minorHAnsi" w:hAnsiTheme="minorHAnsi"/>
          <w:color w:val="auto"/>
          <w:sz w:val="22"/>
          <w:szCs w:val="22"/>
          <w:u w:val="single"/>
        </w:rPr>
      </w:pPr>
    </w:p>
    <w:p w:rsidR="00B22282" w:rsidRDefault="00AA367C">
      <w:pPr>
        <w:pStyle w:val="EOCEheadrequired"/>
        <w:widowControl/>
        <w:suppressAutoHyphens w:val="0"/>
        <w:autoSpaceDE/>
        <w:autoSpaceDN/>
        <w:adjustRightInd/>
        <w:spacing w:before="0" w:after="0" w:line="240" w:lineRule="auto"/>
        <w:textAlignment w:val="auto"/>
        <w:rPr>
          <w:rFonts w:asciiTheme="minorHAnsi" w:hAnsiTheme="minorHAnsi"/>
          <w:color w:val="auto"/>
          <w:sz w:val="22"/>
          <w:szCs w:val="22"/>
        </w:rPr>
      </w:pPr>
      <w:r>
        <w:rPr>
          <w:rFonts w:asciiTheme="minorHAnsi" w:hAnsiTheme="minorHAnsi"/>
          <w:color w:val="auto"/>
          <w:sz w:val="22"/>
          <w:szCs w:val="22"/>
          <w:u w:val="single"/>
        </w:rPr>
        <w:t>Required</w:t>
      </w:r>
      <w:r>
        <w:rPr>
          <w:rFonts w:asciiTheme="minorHAnsi" w:hAnsiTheme="minorHAnsi"/>
          <w:color w:val="auto"/>
          <w:sz w:val="22"/>
          <w:szCs w:val="22"/>
        </w:rPr>
        <w:t>:</w:t>
      </w:r>
    </w:p>
    <w:p w:rsidR="00B22282" w:rsidRDefault="00AA367C">
      <w:pPr>
        <w:pStyle w:val="EOCquestion"/>
        <w:widowControl/>
        <w:numPr>
          <w:ilvl w:val="0"/>
          <w:numId w:val="4"/>
        </w:numPr>
        <w:tabs>
          <w:tab w:val="clear" w:pos="850"/>
          <w:tab w:val="clear" w:pos="5940"/>
          <w:tab w:val="clear" w:pos="7340"/>
          <w:tab w:val="right" w:pos="-3686"/>
        </w:tabs>
        <w:suppressAutoHyphens w:val="0"/>
        <w:autoSpaceDE/>
        <w:autoSpaceDN/>
        <w:adjustRightInd/>
        <w:spacing w:after="0" w:line="240" w:lineRule="auto"/>
        <w:ind w:left="426" w:hanging="426"/>
        <w:textAlignment w:val="auto"/>
        <w:rPr>
          <w:rFonts w:asciiTheme="minorHAnsi" w:hAnsiTheme="minorHAnsi"/>
          <w:color w:val="auto"/>
          <w:sz w:val="22"/>
          <w:szCs w:val="22"/>
        </w:rPr>
      </w:pPr>
      <w:r>
        <w:rPr>
          <w:rFonts w:asciiTheme="minorHAnsi" w:hAnsiTheme="minorHAnsi"/>
          <w:color w:val="auto"/>
          <w:sz w:val="22"/>
          <w:szCs w:val="22"/>
        </w:rPr>
        <w:t>Prepare the acquisition analysis at 1 July 20</w:t>
      </w:r>
      <w:r>
        <w:rPr>
          <w:rFonts w:asciiTheme="minorHAnsi" w:hAnsiTheme="minorHAnsi"/>
          <w:color w:val="auto"/>
          <w:sz w:val="22"/>
          <w:szCs w:val="22"/>
          <w:lang w:val="en-US" w:eastAsia="zh-CN"/>
        </w:rPr>
        <w:t>11</w:t>
      </w:r>
    </w:p>
    <w:p w:rsidR="00B22282" w:rsidRDefault="00B22282">
      <w:pPr>
        <w:pStyle w:val="EOCquestion"/>
        <w:widowControl/>
        <w:tabs>
          <w:tab w:val="clear" w:pos="850"/>
          <w:tab w:val="clear" w:pos="5940"/>
          <w:tab w:val="clear" w:pos="7340"/>
          <w:tab w:val="right" w:pos="-3686"/>
        </w:tabs>
        <w:suppressAutoHyphens w:val="0"/>
        <w:autoSpaceDE/>
        <w:autoSpaceDN/>
        <w:adjustRightInd/>
        <w:spacing w:after="0" w:line="240" w:lineRule="auto"/>
        <w:ind w:left="426" w:firstLine="0"/>
        <w:textAlignment w:val="auto"/>
        <w:rPr>
          <w:rFonts w:asciiTheme="minorHAnsi" w:hAnsiTheme="minorHAnsi"/>
          <w:color w:val="auto"/>
          <w:sz w:val="22"/>
          <w:szCs w:val="22"/>
        </w:rPr>
      </w:pPr>
    </w:p>
    <w:p w:rsidR="00B22282" w:rsidRDefault="00AA367C">
      <w:pPr>
        <w:pStyle w:val="EOCquestion"/>
        <w:widowControl/>
        <w:numPr>
          <w:ilvl w:val="0"/>
          <w:numId w:val="4"/>
        </w:numPr>
        <w:tabs>
          <w:tab w:val="clear" w:pos="850"/>
          <w:tab w:val="clear" w:pos="5940"/>
          <w:tab w:val="clear" w:pos="7340"/>
          <w:tab w:val="right" w:pos="-3686"/>
        </w:tabs>
        <w:suppressAutoHyphens w:val="0"/>
        <w:autoSpaceDE/>
        <w:autoSpaceDN/>
        <w:adjustRightInd/>
        <w:spacing w:after="0" w:line="240" w:lineRule="auto"/>
        <w:ind w:left="426" w:hanging="426"/>
        <w:textAlignment w:val="auto"/>
        <w:rPr>
          <w:rFonts w:asciiTheme="minorHAnsi" w:hAnsiTheme="minorHAnsi"/>
          <w:color w:val="auto"/>
          <w:sz w:val="22"/>
          <w:szCs w:val="22"/>
        </w:rPr>
      </w:pPr>
      <w:r>
        <w:rPr>
          <w:rFonts w:asciiTheme="minorHAnsi" w:hAnsiTheme="minorHAnsi"/>
          <w:color w:val="auto"/>
          <w:sz w:val="22"/>
          <w:szCs w:val="22"/>
        </w:rPr>
        <w:t xml:space="preserve">Prepare </w:t>
      </w:r>
      <w:r>
        <w:rPr>
          <w:rFonts w:asciiTheme="minorHAnsi" w:hAnsiTheme="minorHAnsi"/>
          <w:color w:val="auto"/>
          <w:sz w:val="22"/>
          <w:szCs w:val="22"/>
          <w:lang w:val="en-US" w:eastAsia="zh-CN"/>
        </w:rPr>
        <w:t xml:space="preserve">i) </w:t>
      </w:r>
      <w:r>
        <w:rPr>
          <w:rFonts w:asciiTheme="minorHAnsi" w:hAnsiTheme="minorHAnsi"/>
          <w:color w:val="auto"/>
          <w:sz w:val="22"/>
          <w:szCs w:val="22"/>
        </w:rPr>
        <w:t xml:space="preserve">the consolidation journal entries; </w:t>
      </w:r>
      <w:r>
        <w:rPr>
          <w:rFonts w:asciiTheme="minorHAnsi" w:hAnsiTheme="minorHAnsi"/>
          <w:color w:val="auto"/>
          <w:sz w:val="22"/>
          <w:szCs w:val="22"/>
          <w:lang w:val="en-US" w:eastAsia="zh-CN"/>
        </w:rPr>
        <w:t xml:space="preserve">ii) </w:t>
      </w:r>
      <w:r>
        <w:rPr>
          <w:rFonts w:asciiTheme="minorHAnsi" w:hAnsiTheme="minorHAnsi"/>
          <w:color w:val="auto"/>
          <w:sz w:val="22"/>
          <w:szCs w:val="22"/>
        </w:rPr>
        <w:t>consolidation worksheet</w:t>
      </w:r>
      <w:r>
        <w:rPr>
          <w:rFonts w:asciiTheme="minorHAnsi" w:hAnsiTheme="minorHAnsi"/>
          <w:color w:val="auto"/>
          <w:sz w:val="22"/>
          <w:szCs w:val="22"/>
          <w:lang w:val="en-US" w:eastAsia="zh-CN"/>
        </w:rPr>
        <w:t xml:space="preserve"> </w:t>
      </w:r>
      <w:r>
        <w:rPr>
          <w:rFonts w:asciiTheme="minorHAnsi" w:hAnsiTheme="minorHAnsi"/>
          <w:color w:val="auto"/>
          <w:sz w:val="22"/>
          <w:szCs w:val="22"/>
        </w:rPr>
        <w:t xml:space="preserve">(Show </w:t>
      </w:r>
      <w:r>
        <w:rPr>
          <w:rFonts w:asciiTheme="minorHAnsi" w:hAnsiTheme="minorHAnsi"/>
          <w:b/>
          <w:color w:val="auto"/>
          <w:sz w:val="22"/>
          <w:szCs w:val="22"/>
        </w:rPr>
        <w:t xml:space="preserve">all </w:t>
      </w:r>
      <w:r>
        <w:rPr>
          <w:rFonts w:asciiTheme="minorHAnsi" w:hAnsiTheme="minorHAnsi"/>
          <w:color w:val="auto"/>
          <w:sz w:val="22"/>
          <w:szCs w:val="22"/>
        </w:rPr>
        <w:t>workings)</w:t>
      </w:r>
      <w:r>
        <w:rPr>
          <w:rFonts w:asciiTheme="minorHAnsi" w:hAnsiTheme="minorHAnsi" w:hint="eastAsia"/>
          <w:color w:val="auto"/>
          <w:sz w:val="22"/>
          <w:szCs w:val="22"/>
          <w:lang w:val="en-US" w:eastAsia="zh-CN"/>
        </w:rPr>
        <w:t xml:space="preserve"> for the year ended </w:t>
      </w:r>
      <w:r>
        <w:rPr>
          <w:rFonts w:asciiTheme="minorHAnsi" w:hAnsiTheme="minorHAnsi"/>
          <w:sz w:val="22"/>
          <w:szCs w:val="22"/>
        </w:rPr>
        <w:t>at 30 June 201</w:t>
      </w:r>
      <w:r>
        <w:rPr>
          <w:rFonts w:asciiTheme="minorHAnsi" w:hAnsiTheme="minorHAnsi"/>
          <w:sz w:val="22"/>
          <w:szCs w:val="22"/>
          <w:lang w:val="en-US" w:eastAsia="zh-CN"/>
        </w:rPr>
        <w:t>6</w:t>
      </w:r>
      <w:r>
        <w:rPr>
          <w:rFonts w:asciiTheme="minorHAnsi" w:hAnsiTheme="minorHAnsi"/>
          <w:color w:val="auto"/>
          <w:sz w:val="22"/>
          <w:szCs w:val="22"/>
        </w:rPr>
        <w:t>.</w:t>
      </w:r>
    </w:p>
    <w:p w:rsidR="00B22282" w:rsidRDefault="00B22282">
      <w:pPr>
        <w:pStyle w:val="EOCquestion"/>
        <w:widowControl/>
        <w:tabs>
          <w:tab w:val="clear" w:pos="850"/>
          <w:tab w:val="clear" w:pos="5940"/>
          <w:tab w:val="clear" w:pos="7340"/>
        </w:tabs>
        <w:suppressAutoHyphens w:val="0"/>
        <w:autoSpaceDE/>
        <w:autoSpaceDN/>
        <w:adjustRightInd/>
        <w:spacing w:after="0" w:line="240" w:lineRule="auto"/>
        <w:ind w:left="426" w:firstLine="0"/>
        <w:jc w:val="both"/>
        <w:textAlignment w:val="auto"/>
        <w:rPr>
          <w:rFonts w:asciiTheme="minorHAnsi" w:hAnsiTheme="minorHAnsi"/>
          <w:b/>
          <w:color w:val="auto"/>
          <w:sz w:val="22"/>
          <w:szCs w:val="22"/>
        </w:rPr>
      </w:pPr>
    </w:p>
    <w:p w:rsidR="00B22282" w:rsidRDefault="00AA367C">
      <w:pPr>
        <w:pStyle w:val="EOCquestion"/>
        <w:widowControl/>
        <w:tabs>
          <w:tab w:val="clear" w:pos="850"/>
          <w:tab w:val="clear" w:pos="5940"/>
          <w:tab w:val="clear" w:pos="7340"/>
        </w:tabs>
        <w:suppressAutoHyphens w:val="0"/>
        <w:autoSpaceDE/>
        <w:autoSpaceDN/>
        <w:adjustRightInd/>
        <w:spacing w:after="0" w:line="240" w:lineRule="auto"/>
        <w:ind w:left="426" w:firstLine="0"/>
        <w:jc w:val="both"/>
        <w:textAlignment w:val="auto"/>
        <w:rPr>
          <w:rFonts w:asciiTheme="minorHAnsi" w:hAnsiTheme="minorHAnsi"/>
          <w:color w:val="auto"/>
          <w:sz w:val="22"/>
          <w:szCs w:val="22"/>
        </w:rPr>
      </w:pPr>
      <w:r>
        <w:rPr>
          <w:rFonts w:asciiTheme="minorHAnsi" w:hAnsiTheme="minorHAnsi"/>
          <w:b/>
          <w:color w:val="auto"/>
          <w:sz w:val="22"/>
          <w:szCs w:val="22"/>
        </w:rPr>
        <w:t xml:space="preserve">Note: </w:t>
      </w:r>
      <w:r w:rsidRPr="006269E0">
        <w:rPr>
          <w:rFonts w:asciiTheme="minorHAnsi" w:hAnsiTheme="minorHAnsi"/>
          <w:color w:val="auto"/>
          <w:sz w:val="22"/>
          <w:szCs w:val="22"/>
        </w:rPr>
        <w:t>C</w:t>
      </w:r>
      <w:r>
        <w:rPr>
          <w:rFonts w:asciiTheme="minorHAnsi" w:hAnsiTheme="minorHAnsi"/>
          <w:color w:val="auto"/>
          <w:sz w:val="22"/>
          <w:szCs w:val="22"/>
        </w:rPr>
        <w:t>onsolidation worksheet</w:t>
      </w:r>
      <w:r>
        <w:rPr>
          <w:rFonts w:asciiTheme="minorHAnsi" w:hAnsiTheme="minorHAnsi"/>
          <w:color w:val="auto"/>
          <w:sz w:val="22"/>
          <w:szCs w:val="22"/>
          <w:lang w:val="en-US" w:eastAsia="zh-CN"/>
        </w:rPr>
        <w:t xml:space="preserve"> </w:t>
      </w:r>
      <w:r>
        <w:rPr>
          <w:rFonts w:asciiTheme="minorHAnsi" w:hAnsiTheme="minorHAnsi"/>
          <w:color w:val="auto"/>
          <w:sz w:val="22"/>
          <w:szCs w:val="22"/>
        </w:rPr>
        <w:t>and all calculation should be presented in the same format as used in Leo, Hoggett and Sweeting, 10ed textbook.</w:t>
      </w:r>
      <w:r>
        <w:rPr>
          <w:rFonts w:asciiTheme="minorHAnsi" w:hAnsiTheme="minorHAnsi"/>
          <w:color w:val="auto"/>
          <w:sz w:val="22"/>
          <w:szCs w:val="22"/>
        </w:rPr>
        <w:tab/>
      </w:r>
      <w:r>
        <w:rPr>
          <w:rFonts w:asciiTheme="minorHAnsi" w:hAnsiTheme="minorHAnsi"/>
          <w:color w:val="auto"/>
          <w:sz w:val="22"/>
          <w:szCs w:val="22"/>
        </w:rPr>
        <w:tab/>
      </w:r>
    </w:p>
    <w:p w:rsidR="00B22282" w:rsidRDefault="00AA367C">
      <w:pPr>
        <w:pStyle w:val="EOCquestion"/>
        <w:widowControl/>
        <w:tabs>
          <w:tab w:val="clear" w:pos="850"/>
          <w:tab w:val="clear" w:pos="5940"/>
          <w:tab w:val="clear" w:pos="7340"/>
          <w:tab w:val="right" w:pos="8931"/>
        </w:tabs>
        <w:suppressAutoHyphens w:val="0"/>
        <w:autoSpaceDE/>
        <w:autoSpaceDN/>
        <w:adjustRightInd/>
        <w:spacing w:after="0" w:line="240" w:lineRule="auto"/>
        <w:ind w:left="0" w:firstLine="0"/>
        <w:jc w:val="both"/>
        <w:textAlignment w:val="auto"/>
        <w:rPr>
          <w:rFonts w:asciiTheme="minorHAnsi" w:hAnsiTheme="minorHAnsi"/>
          <w:color w:val="auto"/>
          <w:sz w:val="22"/>
          <w:szCs w:val="22"/>
        </w:rPr>
      </w:pPr>
      <w:r>
        <w:rPr>
          <w:rFonts w:asciiTheme="minorHAnsi" w:hAnsiTheme="minorHAnsi"/>
          <w:color w:val="auto"/>
          <w:sz w:val="22"/>
          <w:szCs w:val="22"/>
        </w:rPr>
        <w:tab/>
      </w:r>
    </w:p>
    <w:p w:rsidR="00B22282" w:rsidRDefault="00AA367C">
      <w:pPr>
        <w:pStyle w:val="EOCquestion"/>
        <w:widowControl/>
        <w:tabs>
          <w:tab w:val="clear" w:pos="850"/>
          <w:tab w:val="clear" w:pos="5940"/>
          <w:tab w:val="clear" w:pos="7340"/>
        </w:tabs>
        <w:suppressAutoHyphens w:val="0"/>
        <w:autoSpaceDE/>
        <w:autoSpaceDN/>
        <w:adjustRightInd/>
        <w:spacing w:after="0" w:line="240" w:lineRule="auto"/>
        <w:jc w:val="both"/>
        <w:textAlignment w:val="auto"/>
        <w:rPr>
          <w:rFonts w:asciiTheme="minorHAnsi" w:hAnsiTheme="minorHAnsi"/>
          <w:color w:val="auto"/>
          <w:sz w:val="22"/>
          <w:szCs w:val="22"/>
        </w:rPr>
      </w:pPr>
      <w:r>
        <w:rPr>
          <w:rFonts w:asciiTheme="minorHAnsi" w:hAnsiTheme="minorHAnsi"/>
          <w:color w:val="auto"/>
          <w:sz w:val="22"/>
          <w:szCs w:val="22"/>
        </w:rPr>
        <w:tab/>
      </w:r>
    </w:p>
    <w:p w:rsidR="00B22282" w:rsidRDefault="00B22282">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hAnsiTheme="minorHAnsi"/>
          <w:color w:val="auto"/>
          <w:sz w:val="22"/>
          <w:szCs w:val="22"/>
        </w:rPr>
      </w:pPr>
    </w:p>
    <w:p w:rsidR="00B22282" w:rsidRDefault="00B22282">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hAnsiTheme="minorHAnsi"/>
          <w:color w:val="auto"/>
          <w:sz w:val="22"/>
          <w:szCs w:val="22"/>
        </w:rPr>
      </w:pPr>
    </w:p>
    <w:p w:rsidR="0077399D" w:rsidRDefault="0077399D">
      <w:pPr>
        <w:spacing w:after="0" w:line="240" w:lineRule="auto"/>
        <w:rPr>
          <w:rFonts w:asciiTheme="minorHAnsi" w:hAnsiTheme="minorHAnsi"/>
          <w:sz w:val="22"/>
          <w:szCs w:val="22"/>
          <w:lang w:val="en-GB"/>
        </w:rPr>
      </w:pPr>
      <w:r>
        <w:rPr>
          <w:rFonts w:asciiTheme="minorHAnsi" w:hAnsiTheme="minorHAnsi"/>
          <w:sz w:val="22"/>
          <w:szCs w:val="22"/>
        </w:rPr>
        <w:br w:type="page"/>
      </w:r>
    </w:p>
    <w:p w:rsidR="00B22282"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lastRenderedPageBreak/>
        <w:t>Required A)</w:t>
      </w:r>
    </w:p>
    <w:p w:rsidR="0077399D" w:rsidRDefault="0077399D">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p>
    <w:p w:rsidR="00543DCA"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val="en-AU" w:eastAsia="ko-KR"/>
        </w:rPr>
      </w:pPr>
      <w:r w:rsidRPr="00543DCA">
        <w:rPr>
          <w:rFonts w:asciiTheme="minorHAnsi" w:eastAsia="맑은 고딕" w:hAnsiTheme="minorHAnsi"/>
          <w:color w:val="auto"/>
          <w:sz w:val="22"/>
          <w:szCs w:val="22"/>
          <w:lang w:val="en-AU" w:eastAsia="ko-KR"/>
        </w:rPr>
        <w:t>The fair value of the identifiable net assets</w:t>
      </w:r>
      <w:r>
        <w:rPr>
          <w:rFonts w:asciiTheme="minorHAnsi" w:eastAsia="맑은 고딕" w:hAnsiTheme="minorHAnsi" w:hint="eastAsia"/>
          <w:color w:val="auto"/>
          <w:sz w:val="22"/>
          <w:szCs w:val="22"/>
          <w:lang w:val="en-AU" w:eastAsia="ko-KR"/>
        </w:rPr>
        <w:t xml:space="preserve"> of Summer Ltd</w:t>
      </w:r>
    </w:p>
    <w:p w:rsidR="00543DCA" w:rsidRPr="00543DCA"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val="en-AU" w:eastAsia="ko-KR"/>
        </w:rPr>
        <w:t xml:space="preserve"> = Share Capital $210,000 + General reserve $6,100 + Retained earnings </w:t>
      </w:r>
      <w:r w:rsidR="0077399D">
        <w:rPr>
          <w:rFonts w:asciiTheme="minorHAnsi" w:eastAsia="맑은 고딕" w:hAnsiTheme="minorHAnsi" w:hint="eastAsia"/>
          <w:color w:val="auto"/>
          <w:sz w:val="22"/>
          <w:szCs w:val="22"/>
          <w:lang w:val="en-AU" w:eastAsia="ko-KR"/>
        </w:rPr>
        <w:t>$</w:t>
      </w:r>
      <w:r>
        <w:rPr>
          <w:rFonts w:asciiTheme="minorHAnsi" w:eastAsia="맑은 고딕" w:hAnsiTheme="minorHAnsi" w:hint="eastAsia"/>
          <w:color w:val="auto"/>
          <w:sz w:val="22"/>
          <w:szCs w:val="22"/>
          <w:lang w:val="en-AU" w:eastAsia="ko-KR"/>
        </w:rPr>
        <w:t xml:space="preserve">75,000 + Land </w:t>
      </w:r>
      <w:r w:rsidR="0077399D">
        <w:rPr>
          <w:rFonts w:asciiTheme="minorHAnsi" w:eastAsia="맑은 고딕" w:hAnsiTheme="minorHAnsi" w:hint="eastAsia"/>
          <w:color w:val="auto"/>
          <w:sz w:val="22"/>
          <w:szCs w:val="22"/>
          <w:lang w:val="en-AU" w:eastAsia="ko-KR"/>
        </w:rPr>
        <w:t>$</w:t>
      </w:r>
      <w:r>
        <w:rPr>
          <w:rFonts w:asciiTheme="minorHAnsi" w:eastAsia="맑은 고딕" w:hAnsiTheme="minorHAnsi" w:hint="eastAsia"/>
          <w:color w:val="auto"/>
          <w:sz w:val="22"/>
          <w:szCs w:val="22"/>
          <w:lang w:val="en-AU" w:eastAsia="ko-KR"/>
        </w:rPr>
        <w:t>5,400 (</w:t>
      </w:r>
      <w:r w:rsidR="0077399D">
        <w:rPr>
          <w:rFonts w:asciiTheme="minorHAnsi" w:eastAsia="맑은 고딕" w:hAnsiTheme="minorHAnsi" w:hint="eastAsia"/>
          <w:color w:val="auto"/>
          <w:sz w:val="22"/>
          <w:szCs w:val="22"/>
          <w:lang w:val="en-AU" w:eastAsia="ko-KR"/>
        </w:rPr>
        <w:t>$</w:t>
      </w:r>
      <w:r>
        <w:rPr>
          <w:rFonts w:asciiTheme="minorHAnsi" w:eastAsia="맑은 고딕" w:hAnsiTheme="minorHAnsi" w:hint="eastAsia"/>
          <w:color w:val="auto"/>
          <w:sz w:val="22"/>
          <w:szCs w:val="22"/>
          <w:lang w:val="en-AU" w:eastAsia="ko-KR"/>
        </w:rPr>
        <w:t xml:space="preserve">18,000 x 30%) + Machinery </w:t>
      </w:r>
      <w:r w:rsidR="0077399D">
        <w:rPr>
          <w:rFonts w:asciiTheme="minorHAnsi" w:eastAsia="맑은 고딕" w:hAnsiTheme="minorHAnsi" w:hint="eastAsia"/>
          <w:color w:val="auto"/>
          <w:sz w:val="22"/>
          <w:szCs w:val="22"/>
          <w:lang w:val="en-AU" w:eastAsia="ko-KR"/>
        </w:rPr>
        <w:t>$</w:t>
      </w:r>
      <w:r>
        <w:rPr>
          <w:rFonts w:asciiTheme="minorHAnsi" w:eastAsia="맑은 고딕" w:hAnsiTheme="minorHAnsi" w:hint="eastAsia"/>
          <w:color w:val="auto"/>
          <w:sz w:val="22"/>
          <w:szCs w:val="22"/>
          <w:lang w:val="en-AU" w:eastAsia="ko-KR"/>
        </w:rPr>
        <w:t>4,500 (</w:t>
      </w:r>
      <w:r w:rsidR="0077399D">
        <w:rPr>
          <w:rFonts w:asciiTheme="minorHAnsi" w:eastAsia="맑은 고딕" w:hAnsiTheme="minorHAnsi" w:hint="eastAsia"/>
          <w:color w:val="auto"/>
          <w:sz w:val="22"/>
          <w:szCs w:val="22"/>
          <w:lang w:val="en-AU" w:eastAsia="ko-KR"/>
        </w:rPr>
        <w:t>$</w:t>
      </w:r>
      <w:r>
        <w:rPr>
          <w:rFonts w:asciiTheme="minorHAnsi" w:eastAsia="맑은 고딕" w:hAnsiTheme="minorHAnsi" w:hint="eastAsia"/>
          <w:color w:val="auto"/>
          <w:sz w:val="22"/>
          <w:szCs w:val="22"/>
          <w:lang w:val="en-AU" w:eastAsia="ko-KR"/>
        </w:rPr>
        <w:t xml:space="preserve">15,000 x 30%) + Receivable </w:t>
      </w:r>
      <w:r w:rsidR="0077399D">
        <w:rPr>
          <w:rFonts w:asciiTheme="minorHAnsi" w:eastAsia="맑은 고딕" w:hAnsiTheme="minorHAnsi" w:hint="eastAsia"/>
          <w:color w:val="auto"/>
          <w:sz w:val="22"/>
          <w:szCs w:val="22"/>
          <w:lang w:val="en-AU" w:eastAsia="ko-KR"/>
        </w:rPr>
        <w:t>$</w:t>
      </w:r>
      <w:r>
        <w:rPr>
          <w:rFonts w:asciiTheme="minorHAnsi" w:eastAsia="맑은 고딕" w:hAnsiTheme="minorHAnsi" w:hint="eastAsia"/>
          <w:color w:val="auto"/>
          <w:sz w:val="22"/>
          <w:szCs w:val="22"/>
          <w:lang w:val="en-AU" w:eastAsia="ko-KR"/>
        </w:rPr>
        <w:t>-1,800 (</w:t>
      </w:r>
      <w:r w:rsidR="0077399D">
        <w:rPr>
          <w:rFonts w:asciiTheme="minorHAnsi" w:eastAsia="맑은 고딕" w:hAnsiTheme="minorHAnsi" w:hint="eastAsia"/>
          <w:color w:val="auto"/>
          <w:sz w:val="22"/>
          <w:szCs w:val="22"/>
          <w:lang w:val="en-AU" w:eastAsia="ko-KR"/>
        </w:rPr>
        <w:t>$</w:t>
      </w:r>
      <w:r>
        <w:rPr>
          <w:rFonts w:asciiTheme="minorHAnsi" w:eastAsia="맑은 고딕" w:hAnsiTheme="minorHAnsi" w:hint="eastAsia"/>
          <w:color w:val="auto"/>
          <w:sz w:val="22"/>
          <w:szCs w:val="22"/>
          <w:lang w:val="en-AU" w:eastAsia="ko-KR"/>
        </w:rPr>
        <w:t>-6000 x 30%)</w:t>
      </w:r>
    </w:p>
    <w:p w:rsidR="00B22282" w:rsidRPr="00543DCA"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 xml:space="preserve">= </w:t>
      </w:r>
      <w:r w:rsidR="0077399D">
        <w:rPr>
          <w:rFonts w:asciiTheme="minorHAnsi" w:eastAsia="맑은 고딕" w:hAnsiTheme="minorHAnsi" w:hint="eastAsia"/>
          <w:color w:val="auto"/>
          <w:sz w:val="22"/>
          <w:szCs w:val="22"/>
          <w:lang w:eastAsia="ko-KR"/>
        </w:rPr>
        <w:t>$</w:t>
      </w:r>
      <w:r>
        <w:rPr>
          <w:rFonts w:asciiTheme="minorHAnsi" w:eastAsia="맑은 고딕" w:hAnsiTheme="minorHAnsi" w:hint="eastAsia"/>
          <w:color w:val="auto"/>
          <w:sz w:val="22"/>
          <w:szCs w:val="22"/>
          <w:lang w:eastAsia="ko-KR"/>
        </w:rPr>
        <w:t>299,200</w:t>
      </w:r>
    </w:p>
    <w:p w:rsidR="00B22282" w:rsidRDefault="00B22282">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hAnsiTheme="minorHAnsi"/>
          <w:color w:val="auto"/>
          <w:sz w:val="22"/>
          <w:szCs w:val="22"/>
        </w:rPr>
      </w:pPr>
    </w:p>
    <w:p w:rsidR="00B22282" w:rsidRPr="00543DCA"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 xml:space="preserve">Consideration transferred = </w:t>
      </w:r>
      <w:r w:rsidR="0077399D">
        <w:rPr>
          <w:rFonts w:asciiTheme="minorHAnsi" w:eastAsia="맑은 고딕" w:hAnsiTheme="minorHAnsi" w:hint="eastAsia"/>
          <w:color w:val="auto"/>
          <w:sz w:val="22"/>
          <w:szCs w:val="22"/>
          <w:lang w:eastAsia="ko-KR"/>
        </w:rPr>
        <w:t>$</w:t>
      </w:r>
      <w:r>
        <w:rPr>
          <w:rFonts w:asciiTheme="minorHAnsi" w:eastAsia="맑은 고딕" w:hAnsiTheme="minorHAnsi" w:hint="eastAsia"/>
          <w:color w:val="auto"/>
          <w:sz w:val="22"/>
          <w:szCs w:val="22"/>
          <w:lang w:eastAsia="ko-KR"/>
        </w:rPr>
        <w:t>270,000</w:t>
      </w:r>
    </w:p>
    <w:p w:rsidR="00B22282" w:rsidRDefault="00B22282">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p>
    <w:p w:rsidR="00543DCA" w:rsidRPr="00543DCA"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 xml:space="preserve">Non-controlling interest = </w:t>
      </w:r>
      <w:r w:rsidR="0077399D">
        <w:rPr>
          <w:rFonts w:asciiTheme="minorHAnsi" w:eastAsia="맑은 고딕" w:hAnsiTheme="minorHAnsi" w:hint="eastAsia"/>
          <w:color w:val="auto"/>
          <w:sz w:val="22"/>
          <w:szCs w:val="22"/>
          <w:lang w:eastAsia="ko-KR"/>
        </w:rPr>
        <w:t>$</w:t>
      </w:r>
      <w:r>
        <w:rPr>
          <w:rFonts w:asciiTheme="minorHAnsi" w:eastAsia="맑은 고딕" w:hAnsiTheme="minorHAnsi" w:hint="eastAsia"/>
          <w:color w:val="auto"/>
          <w:sz w:val="22"/>
          <w:szCs w:val="22"/>
          <w:lang w:eastAsia="ko-KR"/>
        </w:rPr>
        <w:t>66,000</w:t>
      </w:r>
    </w:p>
    <w:p w:rsidR="00B22282" w:rsidRDefault="00B22282">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p>
    <w:p w:rsidR="00543DCA"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 xml:space="preserve">Agreegate of Consideration transferred and NCI = </w:t>
      </w:r>
      <w:r w:rsidR="0077399D">
        <w:rPr>
          <w:rFonts w:asciiTheme="minorHAnsi" w:eastAsia="맑은 고딕" w:hAnsiTheme="minorHAnsi" w:hint="eastAsia"/>
          <w:color w:val="auto"/>
          <w:sz w:val="22"/>
          <w:szCs w:val="22"/>
          <w:lang w:eastAsia="ko-KR"/>
        </w:rPr>
        <w:t>$</w:t>
      </w:r>
      <w:r>
        <w:rPr>
          <w:rFonts w:asciiTheme="minorHAnsi" w:eastAsia="맑은 고딕" w:hAnsiTheme="minorHAnsi" w:hint="eastAsia"/>
          <w:color w:val="auto"/>
          <w:sz w:val="22"/>
          <w:szCs w:val="22"/>
          <w:lang w:eastAsia="ko-KR"/>
        </w:rPr>
        <w:t>336,000</w:t>
      </w:r>
    </w:p>
    <w:p w:rsidR="00543DCA" w:rsidRPr="00543DCA"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p>
    <w:p w:rsidR="00B22282" w:rsidRPr="00543DCA" w:rsidRDefault="00543DCA">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eastAsia="ko-KR"/>
        </w:rPr>
      </w:pPr>
      <w:r w:rsidRPr="00543DCA">
        <w:rPr>
          <w:rFonts w:asciiTheme="minorHAnsi" w:eastAsia="맑은 고딕" w:hAnsiTheme="minorHAnsi" w:hint="eastAsia"/>
          <w:color w:val="auto"/>
          <w:sz w:val="22"/>
          <w:szCs w:val="22"/>
          <w:u w:val="single"/>
          <w:lang w:eastAsia="ko-KR"/>
        </w:rPr>
        <w:t>Total Goodwill</w:t>
      </w:r>
      <w:r>
        <w:rPr>
          <w:rFonts w:asciiTheme="minorHAnsi" w:eastAsia="맑은 고딕" w:hAnsiTheme="minorHAnsi" w:hint="eastAsia"/>
          <w:color w:val="auto"/>
          <w:sz w:val="22"/>
          <w:szCs w:val="22"/>
          <w:lang w:eastAsia="ko-KR"/>
        </w:rPr>
        <w:t xml:space="preserve"> = </w:t>
      </w:r>
      <w:r w:rsidR="0077399D">
        <w:rPr>
          <w:rFonts w:asciiTheme="minorHAnsi" w:eastAsia="맑은 고딕" w:hAnsiTheme="minorHAnsi" w:hint="eastAsia"/>
          <w:color w:val="auto"/>
          <w:sz w:val="22"/>
          <w:szCs w:val="22"/>
          <w:lang w:eastAsia="ko-KR"/>
        </w:rPr>
        <w:t>$</w:t>
      </w:r>
      <w:r>
        <w:rPr>
          <w:rFonts w:asciiTheme="minorHAnsi" w:eastAsia="맑은 고딕" w:hAnsiTheme="minorHAnsi" w:hint="eastAsia"/>
          <w:color w:val="auto"/>
          <w:sz w:val="22"/>
          <w:szCs w:val="22"/>
          <w:lang w:eastAsia="ko-KR"/>
        </w:rPr>
        <w:t>336,000</w:t>
      </w:r>
      <w:r w:rsidR="0077399D">
        <w:rPr>
          <w:rFonts w:asciiTheme="minorHAnsi" w:eastAsia="맑은 고딕" w:hAnsiTheme="minorHAnsi" w:hint="eastAsia"/>
          <w:color w:val="auto"/>
          <w:sz w:val="22"/>
          <w:szCs w:val="22"/>
          <w:lang w:eastAsia="ko-KR"/>
        </w:rPr>
        <w:t xml:space="preserve"> </w:t>
      </w:r>
      <w:r w:rsidR="0077399D">
        <w:rPr>
          <w:rFonts w:asciiTheme="minorHAnsi" w:eastAsia="맑은 고딕" w:hAnsiTheme="minorHAnsi"/>
          <w:color w:val="auto"/>
          <w:sz w:val="22"/>
          <w:szCs w:val="22"/>
          <w:lang w:eastAsia="ko-KR"/>
        </w:rPr>
        <w:t>–</w:t>
      </w:r>
      <w:r w:rsidR="0077399D">
        <w:rPr>
          <w:rFonts w:asciiTheme="minorHAnsi" w:eastAsia="맑은 고딕" w:hAnsiTheme="minorHAnsi" w:hint="eastAsia"/>
          <w:color w:val="auto"/>
          <w:sz w:val="22"/>
          <w:szCs w:val="22"/>
          <w:lang w:eastAsia="ko-KR"/>
        </w:rPr>
        <w:t xml:space="preserve"> $299,200 = $36,800</w:t>
      </w:r>
    </w:p>
    <w:p w:rsidR="00B22282" w:rsidRDefault="00B22282">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hAnsiTheme="minorHAnsi"/>
          <w:color w:val="auto"/>
          <w:sz w:val="22"/>
          <w:szCs w:val="22"/>
        </w:rPr>
      </w:pPr>
    </w:p>
    <w:p w:rsidR="00B22282" w:rsidRPr="0077399D" w:rsidRDefault="00B22282">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hAnsiTheme="minorHAnsi"/>
          <w:color w:val="auto"/>
          <w:sz w:val="22"/>
          <w:szCs w:val="22"/>
          <w:u w:val="single"/>
        </w:rPr>
      </w:pPr>
    </w:p>
    <w:p w:rsidR="00B22282" w:rsidRPr="0077399D"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u w:val="single"/>
          <w:lang w:eastAsia="ko-KR"/>
        </w:rPr>
      </w:pPr>
      <w:r w:rsidRPr="0077399D">
        <w:rPr>
          <w:rFonts w:asciiTheme="minorHAnsi" w:eastAsia="맑은 고딕" w:hAnsiTheme="minorHAnsi" w:hint="eastAsia"/>
          <w:color w:val="auto"/>
          <w:sz w:val="22"/>
          <w:szCs w:val="22"/>
          <w:u w:val="single"/>
          <w:lang w:eastAsia="ko-KR"/>
        </w:rPr>
        <w:t>Goodwill of Summer LTD</w:t>
      </w:r>
    </w:p>
    <w:p w:rsidR="00B22282"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Fair value of Summer LTD = $66,000/20% = $330,000</w:t>
      </w:r>
    </w:p>
    <w:p w:rsidR="0077399D" w:rsidRDefault="0077399D" w:rsidP="0077399D">
      <w:pPr>
        <w:pStyle w:val="EOCquestion"/>
        <w:widowControl/>
        <w:tabs>
          <w:tab w:val="clear" w:pos="850"/>
          <w:tab w:val="clear" w:pos="5940"/>
          <w:tab w:val="clear" w:pos="7340"/>
          <w:tab w:val="right" w:pos="-3686"/>
        </w:tabs>
        <w:suppressAutoHyphens w:val="0"/>
        <w:autoSpaceDE/>
        <w:autoSpaceDN/>
        <w:adjustRightInd/>
        <w:spacing w:after="0" w:line="240" w:lineRule="auto"/>
        <w:textAlignment w:val="auto"/>
        <w:rPr>
          <w:rFonts w:asciiTheme="minorHAnsi" w:eastAsia="맑은 고딕" w:hAnsiTheme="minorHAnsi"/>
          <w:color w:val="auto"/>
          <w:sz w:val="22"/>
          <w:szCs w:val="22"/>
          <w:lang w:val="en-AU" w:eastAsia="ko-KR"/>
        </w:rPr>
      </w:pPr>
      <w:r w:rsidRPr="00543DCA">
        <w:rPr>
          <w:rFonts w:asciiTheme="minorHAnsi" w:eastAsia="맑은 고딕" w:hAnsiTheme="minorHAnsi"/>
          <w:color w:val="auto"/>
          <w:sz w:val="22"/>
          <w:szCs w:val="22"/>
          <w:lang w:val="en-AU" w:eastAsia="ko-KR"/>
        </w:rPr>
        <w:t>The fair value of the identifiable net assets</w:t>
      </w:r>
      <w:r>
        <w:rPr>
          <w:rFonts w:asciiTheme="minorHAnsi" w:eastAsia="맑은 고딕" w:hAnsiTheme="minorHAnsi" w:hint="eastAsia"/>
          <w:color w:val="auto"/>
          <w:sz w:val="22"/>
          <w:szCs w:val="22"/>
          <w:lang w:val="en-AU" w:eastAsia="ko-KR"/>
        </w:rPr>
        <w:t xml:space="preserve"> of Summer Ltd = $299,200</w:t>
      </w:r>
    </w:p>
    <w:p w:rsidR="0077399D" w:rsidRPr="0077399D"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val="en-AU" w:eastAsia="ko-KR"/>
        </w:rPr>
      </w:pPr>
      <w:r>
        <w:rPr>
          <w:rFonts w:asciiTheme="minorHAnsi" w:eastAsia="맑은 고딕" w:hAnsiTheme="minorHAnsi" w:hint="eastAsia"/>
          <w:color w:val="auto"/>
          <w:sz w:val="22"/>
          <w:szCs w:val="22"/>
          <w:lang w:val="en-AU" w:eastAsia="ko-KR"/>
        </w:rPr>
        <w:t>Goodwill of Summer LTD = $330,000 - $299,200= 30,800</w:t>
      </w:r>
    </w:p>
    <w:p w:rsidR="00B22282" w:rsidRPr="0077399D" w:rsidRDefault="00B22282">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hAnsiTheme="minorHAnsi"/>
          <w:color w:val="auto"/>
          <w:sz w:val="22"/>
          <w:szCs w:val="22"/>
          <w:u w:val="single"/>
        </w:rPr>
      </w:pPr>
    </w:p>
    <w:p w:rsidR="00B22282"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u w:val="single"/>
          <w:lang w:eastAsia="ko-KR"/>
        </w:rPr>
      </w:pPr>
      <w:r w:rsidRPr="0077399D">
        <w:rPr>
          <w:rFonts w:asciiTheme="minorHAnsi" w:eastAsia="맑은 고딕" w:hAnsiTheme="minorHAnsi" w:hint="eastAsia"/>
          <w:color w:val="auto"/>
          <w:sz w:val="22"/>
          <w:szCs w:val="22"/>
          <w:u w:val="single"/>
          <w:lang w:eastAsia="ko-KR"/>
        </w:rPr>
        <w:t>Goodwill of Perth LTD</w:t>
      </w:r>
    </w:p>
    <w:p w:rsidR="0077399D"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Total Goodwill acquired = $36,800</w:t>
      </w:r>
    </w:p>
    <w:p w:rsidR="0077399D" w:rsidRPr="0077399D"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 xml:space="preserve">Goodwill of Summer Ltd = </w:t>
      </w:r>
      <w:r w:rsidRPr="0077399D">
        <w:rPr>
          <w:rFonts w:asciiTheme="minorHAnsi" w:eastAsia="맑은 고딕" w:hAnsiTheme="minorHAnsi" w:hint="eastAsia"/>
          <w:color w:val="auto"/>
          <w:sz w:val="22"/>
          <w:szCs w:val="22"/>
          <w:u w:val="single"/>
          <w:lang w:eastAsia="ko-KR"/>
        </w:rPr>
        <w:t>$30,800</w:t>
      </w:r>
    </w:p>
    <w:p w:rsidR="00B22282" w:rsidRPr="0077399D"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 xml:space="preserve">Goodwill of Perth LTD </w:t>
      </w:r>
      <w:r w:rsidR="00C231BC">
        <w:rPr>
          <w:rFonts w:asciiTheme="minorHAnsi" w:eastAsia="맑은 고딕" w:hAnsiTheme="minorHAnsi" w:hint="eastAsia"/>
          <w:color w:val="auto"/>
          <w:sz w:val="22"/>
          <w:szCs w:val="22"/>
          <w:lang w:eastAsia="ko-KR"/>
        </w:rPr>
        <w:t xml:space="preserve">- Control premium </w:t>
      </w:r>
      <w:r>
        <w:rPr>
          <w:rFonts w:asciiTheme="minorHAnsi" w:eastAsia="맑은 고딕" w:hAnsiTheme="minorHAnsi" w:hint="eastAsia"/>
          <w:color w:val="auto"/>
          <w:sz w:val="22"/>
          <w:szCs w:val="22"/>
          <w:lang w:eastAsia="ko-KR"/>
        </w:rPr>
        <w:t>= $6,000</w:t>
      </w:r>
    </w:p>
    <w:p w:rsidR="00B22282" w:rsidRPr="00C231BC" w:rsidRDefault="00B22282">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hAnsiTheme="minorHAnsi"/>
          <w:color w:val="auto"/>
          <w:sz w:val="22"/>
          <w:szCs w:val="22"/>
        </w:rPr>
      </w:pPr>
    </w:p>
    <w:p w:rsidR="00B22282"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Required B)</w:t>
      </w:r>
    </w:p>
    <w:p w:rsidR="0077399D" w:rsidRDefault="0077399D">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eastAsia="ko-KR"/>
        </w:rPr>
      </w:pPr>
    </w:p>
    <w:p w:rsidR="009A73C7" w:rsidRDefault="009A73C7">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eastAsia="ko-KR"/>
        </w:rPr>
      </w:pPr>
      <w:r>
        <w:rPr>
          <w:rFonts w:asciiTheme="minorHAnsi" w:eastAsia="맑은 고딕" w:hAnsiTheme="minorHAnsi" w:hint="eastAsia"/>
          <w:color w:val="auto"/>
          <w:sz w:val="22"/>
          <w:szCs w:val="22"/>
          <w:lang w:eastAsia="ko-KR"/>
        </w:rPr>
        <w:t>i) The consolidation journal entries</w:t>
      </w:r>
      <w:r w:rsidR="00C231BC">
        <w:rPr>
          <w:rFonts w:asciiTheme="minorHAnsi" w:eastAsia="맑은 고딕" w:hAnsiTheme="minorHAnsi" w:hint="eastAsia"/>
          <w:color w:val="auto"/>
          <w:sz w:val="22"/>
          <w:szCs w:val="22"/>
          <w:lang w:eastAsia="ko-KR"/>
        </w:rPr>
        <w:t xml:space="preserve"> at 30 June 2016</w:t>
      </w:r>
    </w:p>
    <w:p w:rsidR="009A73C7" w:rsidRPr="009A73C7" w:rsidRDefault="009A73C7">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eastAsia="맑은 고딕" w:hAnsiTheme="minorHAnsi"/>
          <w:color w:val="auto"/>
          <w:sz w:val="22"/>
          <w:szCs w:val="22"/>
          <w:lang w:eastAsia="ko-KR"/>
        </w:rPr>
      </w:pPr>
    </w:p>
    <w:p w:rsidR="00B22282" w:rsidRDefault="00687C10">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hAnsiTheme="minorHAnsi" w:hint="eastAsia"/>
          <w:color w:val="auto"/>
          <w:sz w:val="22"/>
          <w:szCs w:val="22"/>
          <w:lang w:eastAsia="ko-KR"/>
        </w:rPr>
      </w:pPr>
      <w:r>
        <w:rPr>
          <w:rFonts w:asciiTheme="minorHAnsi" w:hAnsiTheme="minorHAnsi" w:hint="eastAsia"/>
          <w:color w:val="auto"/>
          <w:sz w:val="22"/>
          <w:szCs w:val="22"/>
          <w:lang w:eastAsia="ko-KR"/>
        </w:rPr>
        <w:t>(a) Unrealised profit in opening</w:t>
      </w:r>
    </w:p>
    <w:p w:rsidR="00BF0CDA" w:rsidRDefault="00BF0CDA">
      <w:pPr>
        <w:spacing w:after="0" w:line="240" w:lineRule="auto"/>
        <w:rPr>
          <w:rFonts w:asciiTheme="minorHAnsi" w:hAnsiTheme="minorHAnsi"/>
          <w:sz w:val="22"/>
          <w:szCs w:val="22"/>
        </w:rPr>
      </w:pPr>
      <w:r>
        <w:rPr>
          <w:rFonts w:asciiTheme="minorHAnsi" w:hAnsiTheme="minorHAnsi" w:hint="eastAsia"/>
          <w:sz w:val="22"/>
          <w:szCs w:val="22"/>
          <w:lang w:eastAsia="ko-KR"/>
        </w:rPr>
        <w:t>Unrealised profit in opening inventory : Summer Ltd to Perth Ltd</w:t>
      </w:r>
      <w:r>
        <w:rPr>
          <w:rFonts w:asciiTheme="minorHAnsi" w:hAnsiTheme="minorHAnsi"/>
          <w:sz w:val="22"/>
          <w:szCs w:val="22"/>
        </w:rPr>
        <w:t>Opening inventory of Summer Ltd includes unrealised profit of $5,000 on inventory sold by Perth Ltd.</w:t>
      </w:r>
      <w:r>
        <w:rPr>
          <w:rFonts w:asciiTheme="minorHAnsi" w:hAnsiTheme="minorHAnsi"/>
          <w:sz w:val="22"/>
          <w:szCs w:val="22"/>
        </w:rPr>
        <w:br w:type="page"/>
      </w:r>
    </w:p>
    <w:p w:rsidR="00BF0CDA" w:rsidRPr="00BF0CDA" w:rsidRDefault="00BF0CDA">
      <w:pPr>
        <w:spacing w:after="0" w:line="240" w:lineRule="auto"/>
        <w:rPr>
          <w:rFonts w:asciiTheme="minorHAnsi" w:hAnsiTheme="minorHAnsi" w:hint="eastAsia"/>
          <w:sz w:val="22"/>
          <w:szCs w:val="22"/>
          <w:lang w:eastAsia="ko-KR"/>
        </w:rPr>
      </w:pPr>
    </w:p>
    <w:p w:rsidR="00B22282" w:rsidRDefault="00B22282">
      <w:pPr>
        <w:pStyle w:val="EOCquestion"/>
        <w:widowControl/>
        <w:tabs>
          <w:tab w:val="clear" w:pos="850"/>
          <w:tab w:val="clear" w:pos="5940"/>
          <w:tab w:val="clear" w:pos="7340"/>
          <w:tab w:val="right" w:pos="-3686"/>
        </w:tabs>
        <w:suppressAutoHyphens w:val="0"/>
        <w:autoSpaceDE/>
        <w:autoSpaceDN/>
        <w:adjustRightInd/>
        <w:spacing w:after="0" w:line="360" w:lineRule="auto"/>
        <w:textAlignment w:val="auto"/>
        <w:rPr>
          <w:rFonts w:asciiTheme="minorHAnsi" w:hAnsiTheme="minorHAnsi"/>
          <w:color w:val="auto"/>
          <w:sz w:val="22"/>
          <w:szCs w:val="22"/>
        </w:rPr>
      </w:pPr>
    </w:p>
    <w:p w:rsidR="00B22282" w:rsidRDefault="00AA367C">
      <w:pPr>
        <w:spacing w:after="0" w:line="360" w:lineRule="auto"/>
        <w:jc w:val="both"/>
        <w:rPr>
          <w:rFonts w:asciiTheme="minorHAnsi" w:hAnsiTheme="minorHAnsi"/>
          <w:b/>
          <w:sz w:val="28"/>
          <w:szCs w:val="22"/>
          <w:u w:val="single"/>
        </w:rPr>
      </w:pPr>
      <w:r>
        <w:rPr>
          <w:rFonts w:asciiTheme="minorHAnsi" w:hAnsiTheme="minorHAnsi"/>
          <w:b/>
          <w:sz w:val="28"/>
          <w:szCs w:val="22"/>
          <w:u w:val="single"/>
          <w:lang w:val="en-US" w:eastAsia="zh-CN"/>
        </w:rPr>
        <w:t xml:space="preserve">Part B (by individual): Theory Questions </w:t>
      </w:r>
      <w:r>
        <w:rPr>
          <w:rFonts w:asciiTheme="minorHAnsi" w:hAnsiTheme="minorHAnsi"/>
          <w:b/>
          <w:sz w:val="28"/>
          <w:szCs w:val="22"/>
          <w:u w:val="single"/>
        </w:rPr>
        <w:t xml:space="preserve"> </w:t>
      </w:r>
    </w:p>
    <w:p w:rsidR="00B22282" w:rsidRDefault="00AA367C">
      <w:pPr>
        <w:spacing w:after="0" w:line="240" w:lineRule="auto"/>
        <w:ind w:left="709" w:hanging="709"/>
        <w:jc w:val="both"/>
        <w:rPr>
          <w:rFonts w:asciiTheme="minorHAnsi" w:eastAsia="SimSun" w:hAnsiTheme="minorHAnsi"/>
          <w:sz w:val="22"/>
          <w:szCs w:val="22"/>
          <w:lang w:val="en-US" w:eastAsia="zh-CN"/>
        </w:rPr>
      </w:pPr>
      <w:r>
        <w:rPr>
          <w:rFonts w:asciiTheme="minorHAnsi" w:eastAsia="SimSun" w:hAnsiTheme="minorHAnsi"/>
          <w:b/>
          <w:bCs/>
          <w:sz w:val="22"/>
          <w:szCs w:val="22"/>
          <w:lang w:val="en-US" w:eastAsia="zh-CN"/>
        </w:rPr>
        <w:t>Q1.</w:t>
      </w:r>
      <w:r>
        <w:rPr>
          <w:rFonts w:asciiTheme="minorHAnsi" w:eastAsia="SimSun" w:hAnsiTheme="minorHAnsi"/>
          <w:sz w:val="22"/>
          <w:szCs w:val="22"/>
          <w:lang w:val="en-US" w:eastAsia="zh-CN"/>
        </w:rPr>
        <w:t xml:space="preserve"> a)  Discuss four prescriptions contained in AASB 10 Consolidated Financial Statements when applying to the consolidation process.                                                                                </w:t>
      </w:r>
    </w:p>
    <w:p w:rsidR="00B22282" w:rsidRDefault="00AA367C">
      <w:pPr>
        <w:spacing w:after="0" w:line="240" w:lineRule="auto"/>
        <w:ind w:left="709" w:hanging="283"/>
        <w:jc w:val="both"/>
        <w:rPr>
          <w:rFonts w:asciiTheme="minorHAnsi" w:eastAsia="SimSun" w:hAnsiTheme="minorHAnsi"/>
          <w:sz w:val="22"/>
          <w:szCs w:val="22"/>
          <w:lang w:val="en-US" w:eastAsia="zh-CN"/>
        </w:rPr>
      </w:pPr>
      <w:r>
        <w:rPr>
          <w:rFonts w:asciiTheme="minorHAnsi" w:eastAsia="SimSun" w:hAnsiTheme="minorHAnsi"/>
          <w:sz w:val="22"/>
          <w:szCs w:val="22"/>
          <w:lang w:val="en-US" w:eastAsia="zh-CN"/>
        </w:rPr>
        <w:t xml:space="preserve">b) Discuss four issues that may challenge existing policies and procedures of the consolidation process when applying AAASB 10 Consolidated Financial Statements. </w:t>
      </w:r>
    </w:p>
    <w:p w:rsidR="00B22282" w:rsidRDefault="00AA367C">
      <w:pPr>
        <w:spacing w:after="0" w:line="240" w:lineRule="auto"/>
        <w:ind w:left="709" w:hanging="283"/>
        <w:jc w:val="both"/>
        <w:rPr>
          <w:rFonts w:asciiTheme="minorHAnsi" w:eastAsia="SimSun" w:hAnsiTheme="minorHAnsi"/>
          <w:sz w:val="22"/>
          <w:szCs w:val="22"/>
          <w:lang w:val="en-US" w:eastAsia="zh-CN"/>
        </w:rPr>
      </w:pPr>
      <w:r>
        <w:rPr>
          <w:rFonts w:asciiTheme="minorHAnsi" w:eastAsia="SimSun" w:hAnsiTheme="minorHAnsi"/>
          <w:sz w:val="22"/>
          <w:szCs w:val="22"/>
          <w:lang w:val="en-US" w:eastAsia="zh-CN"/>
        </w:rPr>
        <w:t xml:space="preserve">                                                                                                                                                           </w:t>
      </w:r>
    </w:p>
    <w:p w:rsidR="00B22282" w:rsidRDefault="00B22282">
      <w:pPr>
        <w:spacing w:after="0" w:line="240" w:lineRule="auto"/>
        <w:ind w:left="709" w:hanging="283"/>
        <w:jc w:val="both"/>
        <w:rPr>
          <w:rFonts w:asciiTheme="minorHAnsi" w:eastAsia="SimSun" w:hAnsiTheme="minorHAnsi"/>
          <w:sz w:val="22"/>
          <w:szCs w:val="22"/>
          <w:lang w:val="en-US" w:eastAsia="zh-CN"/>
        </w:rPr>
      </w:pPr>
    </w:p>
    <w:p w:rsidR="00B22282" w:rsidRDefault="00AA367C">
      <w:pPr>
        <w:spacing w:after="0" w:line="240" w:lineRule="auto"/>
        <w:ind w:left="426" w:hanging="426"/>
        <w:jc w:val="both"/>
        <w:rPr>
          <w:rFonts w:asciiTheme="minorHAnsi" w:eastAsia="Times-Roman" w:hAnsiTheme="minorHAnsi"/>
          <w:sz w:val="22"/>
          <w:szCs w:val="22"/>
          <w:lang w:val="en-US" w:eastAsia="zh-CN"/>
        </w:rPr>
      </w:pPr>
      <w:r>
        <w:rPr>
          <w:rFonts w:asciiTheme="minorHAnsi" w:eastAsia="SimSun" w:hAnsiTheme="minorHAnsi"/>
          <w:b/>
          <w:bCs/>
          <w:sz w:val="22"/>
          <w:szCs w:val="22"/>
          <w:lang w:val="en-US" w:eastAsia="zh-CN"/>
        </w:rPr>
        <w:t>Q2.</w:t>
      </w:r>
      <w:r>
        <w:rPr>
          <w:rFonts w:asciiTheme="minorHAnsi" w:eastAsia="SimSun" w:hAnsiTheme="minorHAnsi"/>
          <w:sz w:val="22"/>
          <w:szCs w:val="22"/>
          <w:lang w:val="en-US" w:eastAsia="zh-CN"/>
        </w:rPr>
        <w:t xml:space="preserve"> </w:t>
      </w:r>
      <w:r>
        <w:rPr>
          <w:rFonts w:asciiTheme="minorHAnsi" w:eastAsia="Times-Roman" w:hAnsiTheme="minorHAnsi"/>
          <w:sz w:val="22"/>
          <w:szCs w:val="22"/>
          <w:lang w:val="en-US" w:eastAsia="zh-CN"/>
        </w:rPr>
        <w:t xml:space="preserve"> Why is it necessary to make adjustments for intragroup transactions? </w:t>
      </w:r>
      <w:r>
        <w:rPr>
          <w:rFonts w:asciiTheme="minorHAnsi" w:hAnsiTheme="minorHAnsi"/>
          <w:sz w:val="22"/>
          <w:szCs w:val="22"/>
        </w:rPr>
        <w:t>When does an intragroup transaction consolidation adjustment require us to perform a consolidation adjustment to tax expense?</w:t>
      </w:r>
      <w:r>
        <w:rPr>
          <w:rFonts w:asciiTheme="minorHAnsi" w:eastAsia="SimSun" w:hAnsiTheme="minorHAnsi"/>
          <w:sz w:val="22"/>
          <w:szCs w:val="22"/>
          <w:lang w:val="en-US" w:eastAsia="zh-CN"/>
        </w:rPr>
        <w:t xml:space="preserve">                                                                                                                                         </w:t>
      </w:r>
    </w:p>
    <w:p w:rsidR="00B22282" w:rsidRDefault="00AA367C">
      <w:pPr>
        <w:spacing w:after="0" w:line="240" w:lineRule="auto"/>
        <w:jc w:val="both"/>
        <w:rPr>
          <w:rFonts w:asciiTheme="minorHAnsi" w:eastAsia="Times-Roman" w:hAnsiTheme="minorHAnsi"/>
          <w:sz w:val="22"/>
          <w:szCs w:val="22"/>
          <w:lang w:val="en-US" w:eastAsia="zh-CN"/>
        </w:rPr>
      </w:pPr>
      <w:r>
        <w:rPr>
          <w:rFonts w:asciiTheme="minorHAnsi" w:eastAsia="Times-Roman" w:hAnsiTheme="minorHAnsi"/>
          <w:sz w:val="22"/>
          <w:szCs w:val="22"/>
          <w:lang w:val="en-US" w:eastAsia="zh-CN"/>
        </w:rPr>
        <w:t xml:space="preserve"> </w:t>
      </w:r>
    </w:p>
    <w:p w:rsidR="00B22282" w:rsidRDefault="00AA367C">
      <w:pPr>
        <w:spacing w:after="0" w:line="240" w:lineRule="auto"/>
        <w:ind w:left="426" w:hanging="426"/>
        <w:jc w:val="both"/>
        <w:rPr>
          <w:rFonts w:asciiTheme="minorHAnsi" w:eastAsia="Times-Roman" w:hAnsiTheme="minorHAnsi"/>
          <w:sz w:val="22"/>
          <w:szCs w:val="22"/>
          <w:lang w:val="en-US" w:eastAsia="zh-CN"/>
        </w:rPr>
      </w:pPr>
      <w:r>
        <w:rPr>
          <w:rFonts w:asciiTheme="minorHAnsi" w:eastAsia="Times-Roman" w:hAnsiTheme="minorHAnsi"/>
          <w:sz w:val="22"/>
          <w:szCs w:val="22"/>
          <w:lang w:val="en-US" w:eastAsia="zh-CN"/>
        </w:rPr>
        <w:t xml:space="preserve">        </w:t>
      </w:r>
    </w:p>
    <w:p w:rsidR="00B22282" w:rsidRDefault="00B22282">
      <w:pPr>
        <w:spacing w:after="0" w:line="240" w:lineRule="auto"/>
        <w:ind w:left="426" w:hanging="426"/>
        <w:jc w:val="both"/>
        <w:rPr>
          <w:rFonts w:asciiTheme="minorHAnsi" w:eastAsia="Times-Roman" w:hAnsiTheme="minorHAnsi"/>
          <w:sz w:val="22"/>
          <w:szCs w:val="22"/>
          <w:lang w:val="en-US" w:eastAsia="zh-CN"/>
        </w:rPr>
      </w:pPr>
      <w:bookmarkStart w:id="0" w:name="_GoBack"/>
      <w:bookmarkEnd w:id="0"/>
    </w:p>
    <w:p w:rsidR="00B22282" w:rsidRDefault="00B22282">
      <w:pPr>
        <w:spacing w:after="0" w:line="240" w:lineRule="auto"/>
        <w:ind w:left="426" w:hanging="426"/>
        <w:jc w:val="both"/>
        <w:rPr>
          <w:rFonts w:asciiTheme="minorHAnsi" w:eastAsia="Times-Roman" w:hAnsiTheme="minorHAnsi"/>
          <w:sz w:val="22"/>
          <w:szCs w:val="22"/>
          <w:lang w:val="en-US" w:eastAsia="zh-CN"/>
        </w:rPr>
      </w:pPr>
    </w:p>
    <w:p w:rsidR="00B22282" w:rsidRDefault="00B22282">
      <w:pPr>
        <w:spacing w:after="0" w:line="240" w:lineRule="auto"/>
        <w:ind w:left="426" w:hanging="426"/>
        <w:jc w:val="both"/>
        <w:rPr>
          <w:rFonts w:asciiTheme="minorHAnsi" w:eastAsia="Times-Roman" w:hAnsiTheme="minorHAnsi"/>
          <w:sz w:val="22"/>
          <w:szCs w:val="22"/>
          <w:lang w:val="en-US" w:eastAsia="zh-CN"/>
        </w:rPr>
      </w:pPr>
    </w:p>
    <w:sectPr w:rsidR="00B22282" w:rsidSect="00B22282">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F77" w:rsidRDefault="00CF6F77" w:rsidP="00B22282">
      <w:pPr>
        <w:spacing w:after="0" w:line="240" w:lineRule="auto"/>
      </w:pPr>
      <w:r>
        <w:separator/>
      </w:r>
    </w:p>
  </w:endnote>
  <w:endnote w:type="continuationSeparator" w:id="0">
    <w:p w:rsidR="00CF6F77" w:rsidRDefault="00CF6F77" w:rsidP="00B22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Batang">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Neue-Light">
    <w:altName w:val="Segoe Print"/>
    <w:charset w:val="00"/>
    <w:family w:val="swiss"/>
    <w:pitch w:val="default"/>
    <w:sig w:usb0="00000000" w:usb1="00000000" w:usb2="00000000" w:usb3="00000000" w:csb0="00000001" w:csb1="00000000"/>
  </w:font>
  <w:font w:name="HelveticaNeue-LightItalic">
    <w:altName w:val="Times New Roman"/>
    <w:charset w:val="00"/>
    <w:family w:val="swiss"/>
    <w:pitch w:val="default"/>
    <w:sig w:usb0="00000000" w:usb1="00000000" w:usb2="00000000" w:usb3="00000000" w:csb0="00000001" w:csb1="00000000"/>
  </w:font>
  <w:font w:name="HelveticaNeue-Bold">
    <w:altName w:val="Times New Roman"/>
    <w:charset w:val="4D"/>
    <w:family w:val="auto"/>
    <w:pitch w:val="default"/>
    <w:sig w:usb0="00000000" w:usb1="00000000" w:usb2="00000000" w:usb3="00000000" w:csb0="00000001" w:csb1="00000000"/>
  </w:font>
  <w:font w:name="Agfa Rotis Serif">
    <w:altName w:val="Segoe Print"/>
    <w:charset w:val="00"/>
    <w:family w:val="auto"/>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C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82" w:rsidRDefault="00AA367C">
    <w:pPr>
      <w:pStyle w:val="Footer"/>
      <w:rPr>
        <w:sz w:val="22"/>
        <w:szCs w:val="22"/>
      </w:rPr>
    </w:pPr>
    <w:r>
      <w:rPr>
        <w:rFonts w:hint="eastAsia"/>
        <w:sz w:val="22"/>
        <w:szCs w:val="22"/>
        <w:lang w:val="en-US" w:eastAsia="zh-CN"/>
      </w:rPr>
      <w:t xml:space="preserve">  </w:t>
    </w:r>
    <w:r>
      <w:rPr>
        <w:sz w:val="22"/>
        <w:szCs w:val="22"/>
      </w:rPr>
      <w:tab/>
    </w:r>
    <w:r>
      <w:rPr>
        <w:rFonts w:hint="eastAsia"/>
        <w:sz w:val="22"/>
        <w:szCs w:val="22"/>
        <w:lang w:val="en-US" w:eastAsia="zh-CN"/>
      </w:rPr>
      <w:t xml:space="preserve">                                                                            </w:t>
    </w:r>
    <w:r>
      <w:rPr>
        <w:sz w:val="22"/>
        <w:szCs w:val="22"/>
      </w:rPr>
      <w:tab/>
    </w:r>
    <w:r w:rsidR="00245BCD">
      <w:rPr>
        <w:sz w:val="22"/>
        <w:szCs w:val="22"/>
      </w:rPr>
      <w:fldChar w:fldCharType="begin"/>
    </w:r>
    <w:r>
      <w:rPr>
        <w:sz w:val="22"/>
        <w:szCs w:val="22"/>
      </w:rPr>
      <w:instrText xml:space="preserve"> PAGE   \* MERGEFORMAT </w:instrText>
    </w:r>
    <w:r w:rsidR="00245BCD">
      <w:rPr>
        <w:sz w:val="22"/>
        <w:szCs w:val="22"/>
      </w:rPr>
      <w:fldChar w:fldCharType="separate"/>
    </w:r>
    <w:r w:rsidR="005325C7">
      <w:rPr>
        <w:noProof/>
        <w:sz w:val="22"/>
        <w:szCs w:val="22"/>
      </w:rPr>
      <w:t>5</w:t>
    </w:r>
    <w:r w:rsidR="00245BCD">
      <w:rPr>
        <w:sz w:val="22"/>
        <w:szCs w:val="22"/>
      </w:rPr>
      <w:fldChar w:fldCharType="end"/>
    </w:r>
  </w:p>
  <w:p w:rsidR="00B22282" w:rsidRDefault="00B22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F77" w:rsidRDefault="00CF6F77" w:rsidP="00B22282">
      <w:pPr>
        <w:spacing w:after="0" w:line="240" w:lineRule="auto"/>
      </w:pPr>
      <w:r>
        <w:separator/>
      </w:r>
    </w:p>
  </w:footnote>
  <w:footnote w:type="continuationSeparator" w:id="0">
    <w:p w:rsidR="00CF6F77" w:rsidRDefault="00CF6F77" w:rsidP="00B222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EE6"/>
    <w:multiLevelType w:val="multilevel"/>
    <w:tmpl w:val="03057EE6"/>
    <w:lvl w:ilvl="0">
      <w:start w:val="1"/>
      <w:numFmt w:val="decimal"/>
      <w:lvlText w:val="%1."/>
      <w:lvlJc w:val="left"/>
      <w:pPr>
        <w:ind w:left="1080" w:hanging="720"/>
      </w:pPr>
      <w:rPr>
        <w:rFonts w:cs="Times New Roman" w:hint="default"/>
      </w:rPr>
    </w:lvl>
    <w:lvl w:ilvl="1">
      <w:numFmt w:val="bullet"/>
      <w:lvlText w:val="•"/>
      <w:lvlJc w:val="left"/>
      <w:pPr>
        <w:ind w:left="1440" w:hanging="360"/>
      </w:pPr>
      <w:rPr>
        <w:rFonts w:ascii="Times New Roman" w:eastAsia="Times New Roman" w:hAnsi="Times New Roman" w:hint="default"/>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99620B0"/>
    <w:multiLevelType w:val="multilevel"/>
    <w:tmpl w:val="299620B0"/>
    <w:lvl w:ilvl="0">
      <w:start w:val="1"/>
      <w:numFmt w:val="lowerLetter"/>
      <w:lvlText w:val="%1)"/>
      <w:lvlJc w:val="left"/>
      <w:pPr>
        <w:ind w:left="3440" w:hanging="360"/>
      </w:pPr>
      <w:rPr>
        <w:rFonts w:cs="Times New Roman" w:hint="default"/>
      </w:rPr>
    </w:lvl>
    <w:lvl w:ilvl="1">
      <w:start w:val="1"/>
      <w:numFmt w:val="lowerLetter"/>
      <w:lvlText w:val="%2."/>
      <w:lvlJc w:val="left"/>
      <w:pPr>
        <w:ind w:left="4160" w:hanging="360"/>
      </w:pPr>
      <w:rPr>
        <w:rFonts w:cs="Times New Roman"/>
      </w:rPr>
    </w:lvl>
    <w:lvl w:ilvl="2">
      <w:start w:val="1"/>
      <w:numFmt w:val="lowerRoman"/>
      <w:lvlText w:val="%3."/>
      <w:lvlJc w:val="right"/>
      <w:pPr>
        <w:ind w:left="4880" w:hanging="180"/>
      </w:pPr>
      <w:rPr>
        <w:rFonts w:cs="Times New Roman"/>
      </w:rPr>
    </w:lvl>
    <w:lvl w:ilvl="3">
      <w:start w:val="1"/>
      <w:numFmt w:val="decimal"/>
      <w:lvlText w:val="%4."/>
      <w:lvlJc w:val="left"/>
      <w:pPr>
        <w:ind w:left="5600" w:hanging="360"/>
      </w:pPr>
      <w:rPr>
        <w:rFonts w:cs="Times New Roman"/>
      </w:rPr>
    </w:lvl>
    <w:lvl w:ilvl="4">
      <w:start w:val="1"/>
      <w:numFmt w:val="lowerLetter"/>
      <w:lvlText w:val="%5."/>
      <w:lvlJc w:val="left"/>
      <w:pPr>
        <w:ind w:left="6320" w:hanging="360"/>
      </w:pPr>
      <w:rPr>
        <w:rFonts w:cs="Times New Roman"/>
      </w:rPr>
    </w:lvl>
    <w:lvl w:ilvl="5">
      <w:start w:val="1"/>
      <w:numFmt w:val="lowerRoman"/>
      <w:lvlText w:val="%6."/>
      <w:lvlJc w:val="right"/>
      <w:pPr>
        <w:ind w:left="7040" w:hanging="180"/>
      </w:pPr>
      <w:rPr>
        <w:rFonts w:cs="Times New Roman"/>
      </w:rPr>
    </w:lvl>
    <w:lvl w:ilvl="6">
      <w:start w:val="1"/>
      <w:numFmt w:val="decimal"/>
      <w:lvlText w:val="%7."/>
      <w:lvlJc w:val="left"/>
      <w:pPr>
        <w:ind w:left="7760" w:hanging="360"/>
      </w:pPr>
      <w:rPr>
        <w:rFonts w:cs="Times New Roman"/>
      </w:rPr>
    </w:lvl>
    <w:lvl w:ilvl="7">
      <w:start w:val="1"/>
      <w:numFmt w:val="lowerLetter"/>
      <w:lvlText w:val="%8."/>
      <w:lvlJc w:val="left"/>
      <w:pPr>
        <w:ind w:left="8480" w:hanging="360"/>
      </w:pPr>
      <w:rPr>
        <w:rFonts w:cs="Times New Roman"/>
      </w:rPr>
    </w:lvl>
    <w:lvl w:ilvl="8">
      <w:start w:val="1"/>
      <w:numFmt w:val="lowerRoman"/>
      <w:lvlText w:val="%9."/>
      <w:lvlJc w:val="right"/>
      <w:pPr>
        <w:ind w:left="9200" w:hanging="180"/>
      </w:pPr>
      <w:rPr>
        <w:rFonts w:cs="Times New Roman"/>
      </w:rPr>
    </w:lvl>
  </w:abstractNum>
  <w:abstractNum w:abstractNumId="2">
    <w:nsid w:val="63DF2D37"/>
    <w:multiLevelType w:val="multilevel"/>
    <w:tmpl w:val="63DF2D37"/>
    <w:lvl w:ilvl="0">
      <w:start w:val="1"/>
      <w:numFmt w:val="decimal"/>
      <w:lvlText w:val="%1."/>
      <w:lvlJc w:val="left"/>
      <w:pPr>
        <w:ind w:left="1137" w:hanging="57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
    <w:nsid w:val="71411C7B"/>
    <w:multiLevelType w:val="multilevel"/>
    <w:tmpl w:val="71411C7B"/>
    <w:lvl w:ilvl="0">
      <w:start w:val="1"/>
      <w:numFmt w:val="lowerRoman"/>
      <w:lvlText w:val="%1."/>
      <w:lvlJc w:val="right"/>
      <w:pPr>
        <w:tabs>
          <w:tab w:val="left" w:pos="720"/>
        </w:tabs>
        <w:ind w:left="720" w:hanging="360"/>
      </w:pPr>
    </w:lvl>
    <w:lvl w:ilvl="1">
      <w:start w:val="1"/>
      <w:numFmt w:val="lowerLetter"/>
      <w:lvlText w:val="%2."/>
      <w:lvlJc w:val="left"/>
      <w:pPr>
        <w:tabs>
          <w:tab w:val="left" w:pos="1440"/>
        </w:tabs>
        <w:ind w:left="1440" w:hanging="360"/>
      </w:pPr>
      <w:rPr>
        <w:rFonts w:cs="Times New Roman"/>
      </w:rPr>
    </w:lvl>
    <w:lvl w:ilvl="2">
      <w:start w:val="1"/>
      <w:numFmt w:val="lowerLetter"/>
      <w:lvlText w:val="%3."/>
      <w:lvlJc w:val="left"/>
      <w:pPr>
        <w:tabs>
          <w:tab w:val="left" w:pos="2160"/>
        </w:tabs>
        <w:ind w:left="2160" w:hanging="360"/>
      </w:pPr>
      <w:rPr>
        <w:rFonts w:cs="Times New Roman"/>
      </w:rPr>
    </w:lvl>
    <w:lvl w:ilvl="3">
      <w:start w:val="1"/>
      <w:numFmt w:val="lowerLetter"/>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Letter"/>
      <w:lvlText w:val="%6."/>
      <w:lvlJc w:val="left"/>
      <w:pPr>
        <w:tabs>
          <w:tab w:val="left" w:pos="4320"/>
        </w:tabs>
        <w:ind w:left="4320" w:hanging="360"/>
      </w:pPr>
      <w:rPr>
        <w:rFonts w:cs="Times New Roman"/>
      </w:rPr>
    </w:lvl>
    <w:lvl w:ilvl="6">
      <w:start w:val="1"/>
      <w:numFmt w:val="lowerLetter"/>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Letter"/>
      <w:lvlText w:val="%9."/>
      <w:lvlJc w:val="left"/>
      <w:pPr>
        <w:tabs>
          <w:tab w:val="left" w:pos="6480"/>
        </w:tabs>
        <w:ind w:left="6480" w:hanging="36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noLineBreaksAfter w:lang="zh-CN" w:val="$([{£¥·‘“〈《「『【〔〖〝﹙﹛﹝＄（．［｛￡￥"/>
  <w:noLineBreaksBefore w:lang="zh-CN" w:val="!%),.:;&gt;?]}¢¨°·ˇˉ―‖’”…‰′″›℃∶、。〃〉》」』】〕〗〞︶︺︾﹀﹄﹚﹜﹞！＂％＇），．：；？］｀｜｝～￠"/>
  <w:footnotePr>
    <w:footnote w:id="-1"/>
    <w:footnote w:id="0"/>
  </w:footnotePr>
  <w:endnotePr>
    <w:endnote w:id="-1"/>
    <w:endnote w:id="0"/>
  </w:endnotePr>
  <w:compat>
    <w:doNotExpandShiftReturn/>
    <w:useFELayout/>
  </w:compat>
  <w:rsids>
    <w:rsidRoot w:val="00172A27"/>
    <w:rsid w:val="00002065"/>
    <w:rsid w:val="0001020C"/>
    <w:rsid w:val="0001148E"/>
    <w:rsid w:val="000137DF"/>
    <w:rsid w:val="000141D0"/>
    <w:rsid w:val="00015646"/>
    <w:rsid w:val="00023A18"/>
    <w:rsid w:val="0002596B"/>
    <w:rsid w:val="000315BB"/>
    <w:rsid w:val="000444A2"/>
    <w:rsid w:val="00044878"/>
    <w:rsid w:val="00052135"/>
    <w:rsid w:val="00060349"/>
    <w:rsid w:val="0006474B"/>
    <w:rsid w:val="0006592E"/>
    <w:rsid w:val="000710D8"/>
    <w:rsid w:val="00071779"/>
    <w:rsid w:val="00073801"/>
    <w:rsid w:val="00077FAF"/>
    <w:rsid w:val="00084598"/>
    <w:rsid w:val="00091238"/>
    <w:rsid w:val="000A11CB"/>
    <w:rsid w:val="000A2A05"/>
    <w:rsid w:val="000A779A"/>
    <w:rsid w:val="000B67A3"/>
    <w:rsid w:val="000B7CB0"/>
    <w:rsid w:val="000D7D97"/>
    <w:rsid w:val="000F1F2E"/>
    <w:rsid w:val="00110FB6"/>
    <w:rsid w:val="00112987"/>
    <w:rsid w:val="00112FE9"/>
    <w:rsid w:val="001232DB"/>
    <w:rsid w:val="001239F7"/>
    <w:rsid w:val="00124890"/>
    <w:rsid w:val="00143A5F"/>
    <w:rsid w:val="00143C92"/>
    <w:rsid w:val="0014449B"/>
    <w:rsid w:val="0014538E"/>
    <w:rsid w:val="00150DB7"/>
    <w:rsid w:val="00152C97"/>
    <w:rsid w:val="00172A27"/>
    <w:rsid w:val="001801AD"/>
    <w:rsid w:val="00181C18"/>
    <w:rsid w:val="00183FB7"/>
    <w:rsid w:val="00192E29"/>
    <w:rsid w:val="001B0D24"/>
    <w:rsid w:val="001C106A"/>
    <w:rsid w:val="001C149F"/>
    <w:rsid w:val="001C1F02"/>
    <w:rsid w:val="001C38E9"/>
    <w:rsid w:val="001C4F52"/>
    <w:rsid w:val="001C57BE"/>
    <w:rsid w:val="001D23DB"/>
    <w:rsid w:val="001E1DDF"/>
    <w:rsid w:val="001E7DC6"/>
    <w:rsid w:val="001F163C"/>
    <w:rsid w:val="0020789D"/>
    <w:rsid w:val="00210CDA"/>
    <w:rsid w:val="00213BE1"/>
    <w:rsid w:val="0022507C"/>
    <w:rsid w:val="0024273C"/>
    <w:rsid w:val="00243854"/>
    <w:rsid w:val="00245BCD"/>
    <w:rsid w:val="00250274"/>
    <w:rsid w:val="0025088E"/>
    <w:rsid w:val="00250EE9"/>
    <w:rsid w:val="00257D9E"/>
    <w:rsid w:val="0028040A"/>
    <w:rsid w:val="00282308"/>
    <w:rsid w:val="0028386C"/>
    <w:rsid w:val="002921CA"/>
    <w:rsid w:val="002930D1"/>
    <w:rsid w:val="002A39B1"/>
    <w:rsid w:val="002C0190"/>
    <w:rsid w:val="002F0E85"/>
    <w:rsid w:val="002F259A"/>
    <w:rsid w:val="002F379B"/>
    <w:rsid w:val="002F6547"/>
    <w:rsid w:val="00300997"/>
    <w:rsid w:val="00302585"/>
    <w:rsid w:val="003110C8"/>
    <w:rsid w:val="00314481"/>
    <w:rsid w:val="003225D7"/>
    <w:rsid w:val="0032529B"/>
    <w:rsid w:val="00342137"/>
    <w:rsid w:val="00342843"/>
    <w:rsid w:val="00345AD6"/>
    <w:rsid w:val="00347E44"/>
    <w:rsid w:val="00354E01"/>
    <w:rsid w:val="003571CA"/>
    <w:rsid w:val="00363FFF"/>
    <w:rsid w:val="00365E21"/>
    <w:rsid w:val="00372EE5"/>
    <w:rsid w:val="003764C3"/>
    <w:rsid w:val="0037729F"/>
    <w:rsid w:val="00381EEC"/>
    <w:rsid w:val="00385503"/>
    <w:rsid w:val="00390067"/>
    <w:rsid w:val="00394CA7"/>
    <w:rsid w:val="003B1288"/>
    <w:rsid w:val="003C1CC0"/>
    <w:rsid w:val="003C5763"/>
    <w:rsid w:val="003D63D2"/>
    <w:rsid w:val="003E1F7E"/>
    <w:rsid w:val="003E2C94"/>
    <w:rsid w:val="003E349C"/>
    <w:rsid w:val="003E66C8"/>
    <w:rsid w:val="004033D2"/>
    <w:rsid w:val="0041193F"/>
    <w:rsid w:val="0041331E"/>
    <w:rsid w:val="00425520"/>
    <w:rsid w:val="00432159"/>
    <w:rsid w:val="00433E1A"/>
    <w:rsid w:val="00436BC9"/>
    <w:rsid w:val="00437F4D"/>
    <w:rsid w:val="00442888"/>
    <w:rsid w:val="0044336A"/>
    <w:rsid w:val="004502D5"/>
    <w:rsid w:val="00451656"/>
    <w:rsid w:val="00452E6B"/>
    <w:rsid w:val="00470457"/>
    <w:rsid w:val="0049371A"/>
    <w:rsid w:val="004A245A"/>
    <w:rsid w:val="004A424D"/>
    <w:rsid w:val="004A513D"/>
    <w:rsid w:val="004B315B"/>
    <w:rsid w:val="004B3250"/>
    <w:rsid w:val="004B56D6"/>
    <w:rsid w:val="004C73D9"/>
    <w:rsid w:val="004D7BEE"/>
    <w:rsid w:val="004E126A"/>
    <w:rsid w:val="004E21DC"/>
    <w:rsid w:val="004E738C"/>
    <w:rsid w:val="004F1859"/>
    <w:rsid w:val="004F4447"/>
    <w:rsid w:val="00500EAA"/>
    <w:rsid w:val="0050304C"/>
    <w:rsid w:val="00506C31"/>
    <w:rsid w:val="00511CA9"/>
    <w:rsid w:val="00512C96"/>
    <w:rsid w:val="00514EF9"/>
    <w:rsid w:val="0051583C"/>
    <w:rsid w:val="00515D8F"/>
    <w:rsid w:val="005220CC"/>
    <w:rsid w:val="00527F54"/>
    <w:rsid w:val="00530ABE"/>
    <w:rsid w:val="005325C7"/>
    <w:rsid w:val="00543DCA"/>
    <w:rsid w:val="005561BF"/>
    <w:rsid w:val="00556E30"/>
    <w:rsid w:val="00565A6F"/>
    <w:rsid w:val="00572103"/>
    <w:rsid w:val="0058795F"/>
    <w:rsid w:val="00593D9C"/>
    <w:rsid w:val="005A4176"/>
    <w:rsid w:val="005C2AB8"/>
    <w:rsid w:val="005C4412"/>
    <w:rsid w:val="005C4C68"/>
    <w:rsid w:val="005E63F9"/>
    <w:rsid w:val="005F491E"/>
    <w:rsid w:val="006041EC"/>
    <w:rsid w:val="00604723"/>
    <w:rsid w:val="006269E0"/>
    <w:rsid w:val="00630130"/>
    <w:rsid w:val="00636544"/>
    <w:rsid w:val="006412D3"/>
    <w:rsid w:val="00647E2F"/>
    <w:rsid w:val="00655E9D"/>
    <w:rsid w:val="00664965"/>
    <w:rsid w:val="00664E04"/>
    <w:rsid w:val="00666426"/>
    <w:rsid w:val="0067230C"/>
    <w:rsid w:val="00677981"/>
    <w:rsid w:val="00687C10"/>
    <w:rsid w:val="006A2510"/>
    <w:rsid w:val="006A7753"/>
    <w:rsid w:val="006B0891"/>
    <w:rsid w:val="006B1D68"/>
    <w:rsid w:val="006B66A8"/>
    <w:rsid w:val="006C26CA"/>
    <w:rsid w:val="006C6E72"/>
    <w:rsid w:val="006D0DCF"/>
    <w:rsid w:val="006D2732"/>
    <w:rsid w:val="006F0DA2"/>
    <w:rsid w:val="006F57DE"/>
    <w:rsid w:val="00715387"/>
    <w:rsid w:val="00717D98"/>
    <w:rsid w:val="00721D88"/>
    <w:rsid w:val="00723FB4"/>
    <w:rsid w:val="00726D7C"/>
    <w:rsid w:val="007306F5"/>
    <w:rsid w:val="007434FB"/>
    <w:rsid w:val="00753D91"/>
    <w:rsid w:val="00765B37"/>
    <w:rsid w:val="0077399D"/>
    <w:rsid w:val="00783728"/>
    <w:rsid w:val="00784A22"/>
    <w:rsid w:val="00786578"/>
    <w:rsid w:val="00787431"/>
    <w:rsid w:val="00790956"/>
    <w:rsid w:val="007909E0"/>
    <w:rsid w:val="0079149F"/>
    <w:rsid w:val="00793380"/>
    <w:rsid w:val="00794E1A"/>
    <w:rsid w:val="00795690"/>
    <w:rsid w:val="00796AEB"/>
    <w:rsid w:val="007A5E78"/>
    <w:rsid w:val="007B2908"/>
    <w:rsid w:val="007C56A5"/>
    <w:rsid w:val="007C7BCF"/>
    <w:rsid w:val="007C7EA5"/>
    <w:rsid w:val="007D79DB"/>
    <w:rsid w:val="007E707F"/>
    <w:rsid w:val="007F0305"/>
    <w:rsid w:val="007F0826"/>
    <w:rsid w:val="00802217"/>
    <w:rsid w:val="008025F3"/>
    <w:rsid w:val="00805821"/>
    <w:rsid w:val="00805900"/>
    <w:rsid w:val="008126B9"/>
    <w:rsid w:val="00813876"/>
    <w:rsid w:val="00815D87"/>
    <w:rsid w:val="0082000F"/>
    <w:rsid w:val="008253C3"/>
    <w:rsid w:val="008309E3"/>
    <w:rsid w:val="00850F59"/>
    <w:rsid w:val="008518C5"/>
    <w:rsid w:val="0086004C"/>
    <w:rsid w:val="00877D6C"/>
    <w:rsid w:val="00884797"/>
    <w:rsid w:val="00886575"/>
    <w:rsid w:val="00886D45"/>
    <w:rsid w:val="0089315E"/>
    <w:rsid w:val="008956A8"/>
    <w:rsid w:val="008A3057"/>
    <w:rsid w:val="008A65B0"/>
    <w:rsid w:val="008C07D2"/>
    <w:rsid w:val="008C2899"/>
    <w:rsid w:val="008E5BF1"/>
    <w:rsid w:val="008F07C6"/>
    <w:rsid w:val="00903064"/>
    <w:rsid w:val="0090527B"/>
    <w:rsid w:val="009117C5"/>
    <w:rsid w:val="00921FDE"/>
    <w:rsid w:val="00934313"/>
    <w:rsid w:val="00934874"/>
    <w:rsid w:val="00936558"/>
    <w:rsid w:val="00945F0C"/>
    <w:rsid w:val="00954AF1"/>
    <w:rsid w:val="009622E5"/>
    <w:rsid w:val="0096230E"/>
    <w:rsid w:val="0097443D"/>
    <w:rsid w:val="00977CC6"/>
    <w:rsid w:val="00985034"/>
    <w:rsid w:val="00985E33"/>
    <w:rsid w:val="009870B2"/>
    <w:rsid w:val="009910C3"/>
    <w:rsid w:val="009915DC"/>
    <w:rsid w:val="00996145"/>
    <w:rsid w:val="009A73C7"/>
    <w:rsid w:val="009B0FD7"/>
    <w:rsid w:val="009B7DB9"/>
    <w:rsid w:val="009C79AB"/>
    <w:rsid w:val="009D478C"/>
    <w:rsid w:val="009D56BC"/>
    <w:rsid w:val="009D73EF"/>
    <w:rsid w:val="009D7FD3"/>
    <w:rsid w:val="009F6861"/>
    <w:rsid w:val="009F7037"/>
    <w:rsid w:val="00A2420D"/>
    <w:rsid w:val="00A27D6B"/>
    <w:rsid w:val="00A31883"/>
    <w:rsid w:val="00A3290E"/>
    <w:rsid w:val="00A3424B"/>
    <w:rsid w:val="00A437C9"/>
    <w:rsid w:val="00A465E6"/>
    <w:rsid w:val="00A534FA"/>
    <w:rsid w:val="00A5492A"/>
    <w:rsid w:val="00A5614D"/>
    <w:rsid w:val="00A61C98"/>
    <w:rsid w:val="00A733F0"/>
    <w:rsid w:val="00A86342"/>
    <w:rsid w:val="00AA367C"/>
    <w:rsid w:val="00AA7A64"/>
    <w:rsid w:val="00AB1764"/>
    <w:rsid w:val="00AC5E98"/>
    <w:rsid w:val="00AE0036"/>
    <w:rsid w:val="00AE4BDA"/>
    <w:rsid w:val="00AF6AC8"/>
    <w:rsid w:val="00B02182"/>
    <w:rsid w:val="00B103A6"/>
    <w:rsid w:val="00B10C68"/>
    <w:rsid w:val="00B21B85"/>
    <w:rsid w:val="00B22207"/>
    <w:rsid w:val="00B22282"/>
    <w:rsid w:val="00B23B13"/>
    <w:rsid w:val="00B24B1D"/>
    <w:rsid w:val="00B26C3B"/>
    <w:rsid w:val="00B4096B"/>
    <w:rsid w:val="00B415A8"/>
    <w:rsid w:val="00B519A0"/>
    <w:rsid w:val="00B53800"/>
    <w:rsid w:val="00B81C5D"/>
    <w:rsid w:val="00B84A97"/>
    <w:rsid w:val="00B93712"/>
    <w:rsid w:val="00BA2222"/>
    <w:rsid w:val="00BB42A1"/>
    <w:rsid w:val="00BC4AEE"/>
    <w:rsid w:val="00BD17CD"/>
    <w:rsid w:val="00BD20CE"/>
    <w:rsid w:val="00BD7EC7"/>
    <w:rsid w:val="00BF0CDA"/>
    <w:rsid w:val="00C05771"/>
    <w:rsid w:val="00C231BC"/>
    <w:rsid w:val="00C276BF"/>
    <w:rsid w:val="00C53178"/>
    <w:rsid w:val="00C53A95"/>
    <w:rsid w:val="00C55BC0"/>
    <w:rsid w:val="00C61D8C"/>
    <w:rsid w:val="00C64120"/>
    <w:rsid w:val="00C67285"/>
    <w:rsid w:val="00C73505"/>
    <w:rsid w:val="00C7499A"/>
    <w:rsid w:val="00C84AA2"/>
    <w:rsid w:val="00C85D5E"/>
    <w:rsid w:val="00CA5E94"/>
    <w:rsid w:val="00CA6D2B"/>
    <w:rsid w:val="00CC3949"/>
    <w:rsid w:val="00CC58E7"/>
    <w:rsid w:val="00CE34C0"/>
    <w:rsid w:val="00CF01E0"/>
    <w:rsid w:val="00CF1CED"/>
    <w:rsid w:val="00CF1DF9"/>
    <w:rsid w:val="00CF28ED"/>
    <w:rsid w:val="00CF50E1"/>
    <w:rsid w:val="00CF6F77"/>
    <w:rsid w:val="00CF7356"/>
    <w:rsid w:val="00D06344"/>
    <w:rsid w:val="00D06CFE"/>
    <w:rsid w:val="00D07A76"/>
    <w:rsid w:val="00D230F0"/>
    <w:rsid w:val="00D3128D"/>
    <w:rsid w:val="00D356D2"/>
    <w:rsid w:val="00D3589A"/>
    <w:rsid w:val="00D504C9"/>
    <w:rsid w:val="00D510F5"/>
    <w:rsid w:val="00D60CE7"/>
    <w:rsid w:val="00D66004"/>
    <w:rsid w:val="00D7260B"/>
    <w:rsid w:val="00D808B3"/>
    <w:rsid w:val="00D9452E"/>
    <w:rsid w:val="00DA0C28"/>
    <w:rsid w:val="00DA168B"/>
    <w:rsid w:val="00DA3A7E"/>
    <w:rsid w:val="00DA5E34"/>
    <w:rsid w:val="00DB7C46"/>
    <w:rsid w:val="00DC63BF"/>
    <w:rsid w:val="00DD0F91"/>
    <w:rsid w:val="00DD1465"/>
    <w:rsid w:val="00DD563A"/>
    <w:rsid w:val="00DF4C8D"/>
    <w:rsid w:val="00DF784B"/>
    <w:rsid w:val="00E00992"/>
    <w:rsid w:val="00E06B75"/>
    <w:rsid w:val="00E2386D"/>
    <w:rsid w:val="00E34BD4"/>
    <w:rsid w:val="00E361D9"/>
    <w:rsid w:val="00E602B5"/>
    <w:rsid w:val="00E70685"/>
    <w:rsid w:val="00E711A5"/>
    <w:rsid w:val="00E774CD"/>
    <w:rsid w:val="00E77EDB"/>
    <w:rsid w:val="00E87980"/>
    <w:rsid w:val="00EA469A"/>
    <w:rsid w:val="00EA46F9"/>
    <w:rsid w:val="00EB5063"/>
    <w:rsid w:val="00EC416B"/>
    <w:rsid w:val="00EE1EE4"/>
    <w:rsid w:val="00EE6ED5"/>
    <w:rsid w:val="00EF002D"/>
    <w:rsid w:val="00F033DC"/>
    <w:rsid w:val="00F11508"/>
    <w:rsid w:val="00F14C4E"/>
    <w:rsid w:val="00F15398"/>
    <w:rsid w:val="00F21BAE"/>
    <w:rsid w:val="00F2269A"/>
    <w:rsid w:val="00F23875"/>
    <w:rsid w:val="00F31675"/>
    <w:rsid w:val="00F31AD4"/>
    <w:rsid w:val="00F47F46"/>
    <w:rsid w:val="00F54CA9"/>
    <w:rsid w:val="00F55D98"/>
    <w:rsid w:val="00F64551"/>
    <w:rsid w:val="00F73591"/>
    <w:rsid w:val="00F84F05"/>
    <w:rsid w:val="00F8745F"/>
    <w:rsid w:val="00F93DAA"/>
    <w:rsid w:val="00FA45AB"/>
    <w:rsid w:val="00FA6384"/>
    <w:rsid w:val="00FB12E4"/>
    <w:rsid w:val="00FD1BA9"/>
    <w:rsid w:val="00FE0378"/>
    <w:rsid w:val="00FE3D97"/>
    <w:rsid w:val="00FF3161"/>
    <w:rsid w:val="00FF6178"/>
    <w:rsid w:val="20714365"/>
    <w:rsid w:val="2BCC2A2C"/>
    <w:rsid w:val="379441BE"/>
    <w:rsid w:val="4685212D"/>
    <w:rsid w:val="654B1B18"/>
    <w:rsid w:val="6A5B78E8"/>
    <w:rsid w:val="7C036B3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qFormat="1"/>
    <w:lsdException w:name="annotation text" w:semiHidden="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qFormat="1"/>
    <w:lsdException w:name="FollowedHyperlink" w:semiHidden="1" w:unhideWhenUsed="1"/>
    <w:lsdException w:name="Strong"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282"/>
    <w:pPr>
      <w:spacing w:after="160" w:line="259" w:lineRule="auto"/>
    </w:pPr>
    <w:rPr>
      <w:rFonts w:ascii="Times" w:eastAsiaTheme="minorEastAsia" w:hAnsi="Times"/>
      <w:sz w:val="24"/>
      <w:lang w:val="en-AU" w:eastAsia="en-AU"/>
    </w:rPr>
  </w:style>
  <w:style w:type="paragraph" w:styleId="Heading1">
    <w:name w:val="heading 1"/>
    <w:basedOn w:val="Normal"/>
    <w:next w:val="Normal"/>
    <w:link w:val="Heading1Char"/>
    <w:uiPriority w:val="99"/>
    <w:qFormat/>
    <w:rsid w:val="00B22282"/>
    <w:pPr>
      <w:pBdr>
        <w:bottom w:val="threeDEngrave" w:sz="6" w:space="1" w:color="auto"/>
      </w:pBdr>
      <w:outlineLvl w:val="0"/>
    </w:pPr>
    <w:rPr>
      <w:rFonts w:eastAsia="Batang"/>
      <w:i/>
      <w:sz w:val="52"/>
      <w:szCs w:val="52"/>
    </w:rPr>
  </w:style>
  <w:style w:type="paragraph" w:styleId="Heading2">
    <w:name w:val="heading 2"/>
    <w:basedOn w:val="Style6"/>
    <w:next w:val="Normal"/>
    <w:link w:val="Heading2Char"/>
    <w:uiPriority w:val="99"/>
    <w:qFormat/>
    <w:rsid w:val="00B22282"/>
    <w:pPr>
      <w:spacing w:after="0"/>
      <w:outlineLvl w:val="1"/>
    </w:pPr>
    <w:rPr>
      <w:b/>
      <w:caps/>
    </w:rPr>
  </w:style>
  <w:style w:type="paragraph" w:styleId="Heading3">
    <w:name w:val="heading 3"/>
    <w:basedOn w:val="Style7"/>
    <w:next w:val="Normal"/>
    <w:link w:val="Heading3Char"/>
    <w:uiPriority w:val="99"/>
    <w:qFormat/>
    <w:rsid w:val="00B22282"/>
    <w:pPr>
      <w:spacing w:after="0"/>
      <w:outlineLvl w:val="2"/>
    </w:pPr>
    <w:rPr>
      <w:b/>
      <w:bCs/>
    </w:rPr>
  </w:style>
  <w:style w:type="paragraph" w:styleId="Heading4">
    <w:name w:val="heading 4"/>
    <w:basedOn w:val="Normal"/>
    <w:next w:val="Normal"/>
    <w:link w:val="Heading4Char"/>
    <w:uiPriority w:val="99"/>
    <w:qFormat/>
    <w:rsid w:val="00B22282"/>
    <w:pPr>
      <w:autoSpaceDE w:val="0"/>
      <w:autoSpaceDN w:val="0"/>
      <w:adjustRightInd w:val="0"/>
      <w:ind w:left="567" w:hanging="567"/>
      <w:outlineLvl w:val="3"/>
    </w:pPr>
  </w:style>
  <w:style w:type="paragraph" w:styleId="Heading5">
    <w:name w:val="heading 5"/>
    <w:basedOn w:val="Heading4"/>
    <w:next w:val="Normal"/>
    <w:link w:val="Heading5Char"/>
    <w:uiPriority w:val="99"/>
    <w:qFormat/>
    <w:rsid w:val="00B22282"/>
    <w:pPr>
      <w:ind w:left="851" w:hanging="851"/>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Style4"/>
    <w:uiPriority w:val="99"/>
    <w:rsid w:val="00B22282"/>
  </w:style>
  <w:style w:type="paragraph" w:customStyle="1" w:styleId="Style4">
    <w:name w:val="Style4"/>
    <w:basedOn w:val="Normal"/>
    <w:uiPriority w:val="99"/>
    <w:rsid w:val="00B22282"/>
    <w:pPr>
      <w:spacing w:after="200" w:line="360" w:lineRule="auto"/>
    </w:pPr>
  </w:style>
  <w:style w:type="paragraph" w:customStyle="1" w:styleId="Style7">
    <w:name w:val="Style7"/>
    <w:basedOn w:val="Style4"/>
    <w:uiPriority w:val="99"/>
    <w:rsid w:val="00B22282"/>
    <w:pPr>
      <w:ind w:left="567" w:hanging="567"/>
    </w:pPr>
  </w:style>
  <w:style w:type="paragraph" w:styleId="CommentSubject">
    <w:name w:val="annotation subject"/>
    <w:basedOn w:val="CommentText"/>
    <w:next w:val="CommentText"/>
    <w:link w:val="CommentSubjectChar"/>
    <w:uiPriority w:val="99"/>
    <w:semiHidden/>
    <w:qFormat/>
    <w:rsid w:val="00B22282"/>
    <w:rPr>
      <w:b/>
      <w:bCs/>
    </w:rPr>
  </w:style>
  <w:style w:type="paragraph" w:styleId="CommentText">
    <w:name w:val="annotation text"/>
    <w:basedOn w:val="Normal"/>
    <w:link w:val="CommentTextChar"/>
    <w:uiPriority w:val="99"/>
    <w:semiHidden/>
    <w:rsid w:val="00B22282"/>
    <w:rPr>
      <w:sz w:val="20"/>
    </w:rPr>
  </w:style>
  <w:style w:type="paragraph" w:styleId="Caption">
    <w:name w:val="caption"/>
    <w:basedOn w:val="Normal"/>
    <w:next w:val="Normal"/>
    <w:uiPriority w:val="99"/>
    <w:qFormat/>
    <w:rsid w:val="00B22282"/>
    <w:pPr>
      <w:ind w:firstLine="567"/>
      <w:jc w:val="center"/>
    </w:pPr>
    <w:rPr>
      <w:bCs/>
    </w:rPr>
  </w:style>
  <w:style w:type="paragraph" w:styleId="ListBullet">
    <w:name w:val="List Bullet"/>
    <w:basedOn w:val="Normal"/>
    <w:uiPriority w:val="99"/>
    <w:qFormat/>
    <w:rsid w:val="00B22282"/>
    <w:pPr>
      <w:tabs>
        <w:tab w:val="left" w:pos="360"/>
      </w:tabs>
      <w:ind w:left="360" w:hanging="360"/>
    </w:pPr>
  </w:style>
  <w:style w:type="paragraph" w:styleId="DocumentMap">
    <w:name w:val="Document Map"/>
    <w:basedOn w:val="Normal"/>
    <w:link w:val="DocumentMapChar"/>
    <w:uiPriority w:val="99"/>
    <w:semiHidden/>
    <w:qFormat/>
    <w:rsid w:val="00B22282"/>
    <w:pPr>
      <w:shd w:val="clear" w:color="auto" w:fill="000080"/>
    </w:pPr>
    <w:rPr>
      <w:rFonts w:ascii="Tahoma" w:hAnsi="Tahoma" w:cs="Tahoma"/>
      <w:sz w:val="20"/>
    </w:rPr>
  </w:style>
  <w:style w:type="paragraph" w:styleId="BodyText">
    <w:name w:val="Body Text"/>
    <w:basedOn w:val="Normal"/>
    <w:link w:val="BodyTextChar"/>
    <w:uiPriority w:val="99"/>
    <w:rsid w:val="00B22282"/>
    <w:pPr>
      <w:autoSpaceDE w:val="0"/>
      <w:autoSpaceDN w:val="0"/>
      <w:adjustRightInd w:val="0"/>
      <w:spacing w:before="120"/>
      <w:jc w:val="center"/>
    </w:pPr>
    <w:rPr>
      <w:b/>
      <w:color w:val="000000"/>
    </w:rPr>
  </w:style>
  <w:style w:type="paragraph" w:styleId="TOC5">
    <w:name w:val="toc 5"/>
    <w:basedOn w:val="Normal"/>
    <w:next w:val="Normal"/>
    <w:uiPriority w:val="99"/>
    <w:rsid w:val="00B22282"/>
    <w:pPr>
      <w:spacing w:after="100"/>
      <w:ind w:left="960"/>
    </w:pPr>
  </w:style>
  <w:style w:type="paragraph" w:styleId="TOC3">
    <w:name w:val="toc 3"/>
    <w:basedOn w:val="Normal"/>
    <w:next w:val="Normal"/>
    <w:uiPriority w:val="99"/>
    <w:rsid w:val="00B22282"/>
    <w:pPr>
      <w:spacing w:after="100"/>
      <w:ind w:left="480"/>
    </w:pPr>
  </w:style>
  <w:style w:type="paragraph" w:styleId="BalloonText">
    <w:name w:val="Balloon Text"/>
    <w:basedOn w:val="Normal"/>
    <w:link w:val="BalloonTextChar"/>
    <w:uiPriority w:val="99"/>
    <w:semiHidden/>
    <w:rsid w:val="00B22282"/>
    <w:rPr>
      <w:rFonts w:ascii="Tahoma" w:hAnsi="Tahoma" w:cs="Tahoma"/>
      <w:sz w:val="16"/>
      <w:szCs w:val="16"/>
    </w:rPr>
  </w:style>
  <w:style w:type="paragraph" w:styleId="Footer">
    <w:name w:val="footer"/>
    <w:basedOn w:val="Normal"/>
    <w:link w:val="FooterChar"/>
    <w:uiPriority w:val="99"/>
    <w:qFormat/>
    <w:rsid w:val="00B22282"/>
    <w:pPr>
      <w:tabs>
        <w:tab w:val="center" w:pos="4153"/>
        <w:tab w:val="right" w:pos="8306"/>
      </w:tabs>
    </w:pPr>
  </w:style>
  <w:style w:type="paragraph" w:styleId="Header">
    <w:name w:val="header"/>
    <w:basedOn w:val="Normal"/>
    <w:link w:val="HeaderChar"/>
    <w:uiPriority w:val="99"/>
    <w:rsid w:val="00B22282"/>
    <w:pPr>
      <w:tabs>
        <w:tab w:val="center" w:pos="4153"/>
        <w:tab w:val="right" w:pos="8306"/>
      </w:tabs>
    </w:pPr>
  </w:style>
  <w:style w:type="paragraph" w:styleId="TOC1">
    <w:name w:val="toc 1"/>
    <w:basedOn w:val="Normal"/>
    <w:next w:val="Normal"/>
    <w:uiPriority w:val="99"/>
    <w:rsid w:val="00B22282"/>
    <w:pPr>
      <w:tabs>
        <w:tab w:val="right" w:leader="dot" w:pos="8302"/>
      </w:tabs>
      <w:spacing w:after="100"/>
    </w:pPr>
  </w:style>
  <w:style w:type="paragraph" w:styleId="TOC4">
    <w:name w:val="toc 4"/>
    <w:basedOn w:val="Normal"/>
    <w:next w:val="Normal"/>
    <w:uiPriority w:val="99"/>
    <w:rsid w:val="00B22282"/>
    <w:pPr>
      <w:spacing w:after="100"/>
      <w:ind w:left="720"/>
    </w:pPr>
  </w:style>
  <w:style w:type="paragraph" w:styleId="FootnoteText">
    <w:name w:val="footnote text"/>
    <w:basedOn w:val="Normal"/>
    <w:link w:val="FootnoteTextChar"/>
    <w:uiPriority w:val="99"/>
    <w:qFormat/>
    <w:rsid w:val="00B22282"/>
    <w:rPr>
      <w:sz w:val="20"/>
    </w:rPr>
  </w:style>
  <w:style w:type="paragraph" w:styleId="TOC2">
    <w:name w:val="toc 2"/>
    <w:basedOn w:val="Normal"/>
    <w:next w:val="Normal"/>
    <w:uiPriority w:val="99"/>
    <w:qFormat/>
    <w:rsid w:val="00B22282"/>
    <w:pPr>
      <w:spacing w:after="100"/>
      <w:ind w:left="240"/>
    </w:pPr>
  </w:style>
  <w:style w:type="paragraph" w:styleId="NormalWeb">
    <w:name w:val="Normal (Web)"/>
    <w:basedOn w:val="Normal"/>
    <w:uiPriority w:val="99"/>
    <w:qFormat/>
    <w:rsid w:val="00B22282"/>
    <w:pPr>
      <w:spacing w:before="100" w:beforeAutospacing="1" w:after="100" w:afterAutospacing="1"/>
    </w:pPr>
  </w:style>
  <w:style w:type="paragraph" w:styleId="Title">
    <w:name w:val="Title"/>
    <w:basedOn w:val="Normal"/>
    <w:link w:val="TitleChar"/>
    <w:uiPriority w:val="99"/>
    <w:qFormat/>
    <w:rsid w:val="00B22282"/>
    <w:pPr>
      <w:spacing w:line="360" w:lineRule="auto"/>
      <w:jc w:val="center"/>
    </w:pPr>
    <w:rPr>
      <w:rFonts w:ascii="Arial" w:hAnsi="Arial" w:cs="Arial"/>
      <w:b/>
      <w:bCs/>
      <w:sz w:val="28"/>
      <w:lang w:eastAsia="en-US"/>
    </w:rPr>
  </w:style>
  <w:style w:type="character" w:styleId="Strong">
    <w:name w:val="Strong"/>
    <w:basedOn w:val="DefaultParagraphFont"/>
    <w:uiPriority w:val="99"/>
    <w:qFormat/>
    <w:rsid w:val="00B22282"/>
    <w:rPr>
      <w:rFonts w:cs="Times New Roman"/>
      <w:b/>
      <w:bCs/>
    </w:rPr>
  </w:style>
  <w:style w:type="character" w:styleId="PageNumber">
    <w:name w:val="page number"/>
    <w:basedOn w:val="DefaultParagraphFont"/>
    <w:uiPriority w:val="99"/>
    <w:qFormat/>
    <w:rsid w:val="00B22282"/>
    <w:rPr>
      <w:rFonts w:cs="Times New Roman"/>
    </w:rPr>
  </w:style>
  <w:style w:type="character" w:styleId="Hyperlink">
    <w:name w:val="Hyperlink"/>
    <w:basedOn w:val="DefaultParagraphFont"/>
    <w:uiPriority w:val="99"/>
    <w:qFormat/>
    <w:rsid w:val="00B22282"/>
    <w:rPr>
      <w:rFonts w:cs="Times New Roman"/>
      <w:color w:val="0000FF"/>
      <w:u w:val="single"/>
    </w:rPr>
  </w:style>
  <w:style w:type="character" w:styleId="CommentReference">
    <w:name w:val="annotation reference"/>
    <w:basedOn w:val="DefaultParagraphFont"/>
    <w:uiPriority w:val="99"/>
    <w:semiHidden/>
    <w:qFormat/>
    <w:rsid w:val="00B22282"/>
    <w:rPr>
      <w:rFonts w:cs="Times New Roman"/>
      <w:sz w:val="16"/>
      <w:szCs w:val="16"/>
    </w:rPr>
  </w:style>
  <w:style w:type="character" w:styleId="FootnoteReference">
    <w:name w:val="footnote reference"/>
    <w:basedOn w:val="DefaultParagraphFont"/>
    <w:uiPriority w:val="99"/>
    <w:qFormat/>
    <w:rsid w:val="00B22282"/>
    <w:rPr>
      <w:rFonts w:cs="Times New Roman"/>
      <w:vertAlign w:val="superscript"/>
    </w:rPr>
  </w:style>
  <w:style w:type="table" w:styleId="TableGrid">
    <w:name w:val="Table Grid"/>
    <w:basedOn w:val="TableNormal"/>
    <w:uiPriority w:val="99"/>
    <w:qFormat/>
    <w:rsid w:val="00B222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uiPriority w:val="99"/>
    <w:qFormat/>
    <w:rsid w:val="00B22282"/>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character" w:customStyle="1" w:styleId="Heading1Char">
    <w:name w:val="Heading 1 Char"/>
    <w:basedOn w:val="DefaultParagraphFont"/>
    <w:link w:val="Heading1"/>
    <w:uiPriority w:val="99"/>
    <w:qFormat/>
    <w:locked/>
    <w:rsid w:val="00B22282"/>
    <w:rPr>
      <w:rFonts w:eastAsia="Batang" w:cs="Times New Roman"/>
      <w:i/>
      <w:sz w:val="52"/>
      <w:szCs w:val="52"/>
      <w:lang w:eastAsia="en-AU"/>
    </w:rPr>
  </w:style>
  <w:style w:type="character" w:customStyle="1" w:styleId="Heading2Char">
    <w:name w:val="Heading 2 Char"/>
    <w:basedOn w:val="DefaultParagraphFont"/>
    <w:link w:val="Heading2"/>
    <w:uiPriority w:val="99"/>
    <w:qFormat/>
    <w:locked/>
    <w:rsid w:val="00B22282"/>
    <w:rPr>
      <w:rFonts w:cs="Times New Roman"/>
      <w:b/>
      <w:caps/>
      <w:lang w:eastAsia="en-AU"/>
    </w:rPr>
  </w:style>
  <w:style w:type="character" w:customStyle="1" w:styleId="Heading3Char">
    <w:name w:val="Heading 3 Char"/>
    <w:basedOn w:val="DefaultParagraphFont"/>
    <w:link w:val="Heading3"/>
    <w:uiPriority w:val="99"/>
    <w:qFormat/>
    <w:locked/>
    <w:rsid w:val="00B22282"/>
    <w:rPr>
      <w:rFonts w:cs="Times New Roman"/>
      <w:b/>
      <w:bCs/>
      <w:lang w:eastAsia="en-AU"/>
    </w:rPr>
  </w:style>
  <w:style w:type="character" w:customStyle="1" w:styleId="Heading4Char">
    <w:name w:val="Heading 4 Char"/>
    <w:basedOn w:val="DefaultParagraphFont"/>
    <w:link w:val="Heading4"/>
    <w:uiPriority w:val="99"/>
    <w:qFormat/>
    <w:locked/>
    <w:rsid w:val="00B22282"/>
    <w:rPr>
      <w:rFonts w:cs="Times New Roman"/>
      <w:lang w:eastAsia="en-AU"/>
    </w:rPr>
  </w:style>
  <w:style w:type="character" w:customStyle="1" w:styleId="Heading5Char">
    <w:name w:val="Heading 5 Char"/>
    <w:basedOn w:val="DefaultParagraphFont"/>
    <w:link w:val="Heading5"/>
    <w:uiPriority w:val="99"/>
    <w:qFormat/>
    <w:locked/>
    <w:rsid w:val="00B22282"/>
    <w:rPr>
      <w:rFonts w:cs="Times New Roman"/>
      <w:i/>
      <w:lang w:eastAsia="en-AU"/>
    </w:rPr>
  </w:style>
  <w:style w:type="table" w:customStyle="1" w:styleId="Style3">
    <w:name w:val="Style3"/>
    <w:basedOn w:val="TableSimple1"/>
    <w:uiPriority w:val="99"/>
    <w:qFormat/>
    <w:rsid w:val="00B22282"/>
    <w:rPr>
      <w:sz w:val="16"/>
      <w:lang w:eastAsia="en-US" w:bidi="ta-I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Style2">
    <w:name w:val="Style2"/>
    <w:basedOn w:val="TableSimple1"/>
    <w:uiPriority w:val="99"/>
    <w:qFormat/>
    <w:rsid w:val="00B22282"/>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paragraph" w:customStyle="1" w:styleId="Style10">
    <w:name w:val="Style10"/>
    <w:basedOn w:val="Normal"/>
    <w:link w:val="Style10Char"/>
    <w:uiPriority w:val="99"/>
    <w:qFormat/>
    <w:rsid w:val="00B22282"/>
    <w:pPr>
      <w:jc w:val="center"/>
    </w:pPr>
    <w:rPr>
      <w:b/>
    </w:rPr>
  </w:style>
  <w:style w:type="character" w:customStyle="1" w:styleId="Style10Char">
    <w:name w:val="Style10 Char"/>
    <w:basedOn w:val="DefaultParagraphFont"/>
    <w:link w:val="Style10"/>
    <w:uiPriority w:val="99"/>
    <w:qFormat/>
    <w:locked/>
    <w:rsid w:val="00B22282"/>
    <w:rPr>
      <w:rFonts w:cs="Times New Roman"/>
      <w:b/>
      <w:lang w:eastAsia="en-AU"/>
    </w:rPr>
  </w:style>
  <w:style w:type="paragraph" w:customStyle="1" w:styleId="Style30">
    <w:name w:val="Style 3"/>
    <w:basedOn w:val="Normal"/>
    <w:link w:val="Style3Char"/>
    <w:uiPriority w:val="99"/>
    <w:qFormat/>
    <w:rsid w:val="00B22282"/>
    <w:pPr>
      <w:autoSpaceDE w:val="0"/>
      <w:autoSpaceDN w:val="0"/>
      <w:adjustRightInd w:val="0"/>
      <w:spacing w:before="120" w:line="360" w:lineRule="auto"/>
      <w:ind w:left="567" w:hanging="567"/>
    </w:pPr>
    <w:rPr>
      <w:b/>
    </w:rPr>
  </w:style>
  <w:style w:type="character" w:customStyle="1" w:styleId="Style3Char">
    <w:name w:val="Style 3 Char"/>
    <w:basedOn w:val="DefaultParagraphFont"/>
    <w:link w:val="Style30"/>
    <w:uiPriority w:val="99"/>
    <w:qFormat/>
    <w:locked/>
    <w:rsid w:val="00B22282"/>
    <w:rPr>
      <w:rFonts w:cs="Times New Roman"/>
      <w:b/>
      <w:lang w:eastAsia="en-AU"/>
    </w:rPr>
  </w:style>
  <w:style w:type="character" w:customStyle="1" w:styleId="FootnoteTextChar">
    <w:name w:val="Footnote Text Char"/>
    <w:basedOn w:val="DefaultParagraphFont"/>
    <w:link w:val="FootnoteText"/>
    <w:uiPriority w:val="99"/>
    <w:qFormat/>
    <w:locked/>
    <w:rsid w:val="00B22282"/>
    <w:rPr>
      <w:rFonts w:cs="Times New Roman"/>
      <w:sz w:val="20"/>
      <w:szCs w:val="20"/>
      <w:lang w:eastAsia="en-AU"/>
    </w:rPr>
  </w:style>
  <w:style w:type="character" w:customStyle="1" w:styleId="HeaderChar">
    <w:name w:val="Header Char"/>
    <w:basedOn w:val="DefaultParagraphFont"/>
    <w:link w:val="Header"/>
    <w:uiPriority w:val="99"/>
    <w:qFormat/>
    <w:locked/>
    <w:rsid w:val="00B22282"/>
    <w:rPr>
      <w:rFonts w:cs="Times New Roman"/>
      <w:lang w:eastAsia="en-AU"/>
    </w:rPr>
  </w:style>
  <w:style w:type="character" w:customStyle="1" w:styleId="FooterChar">
    <w:name w:val="Footer Char"/>
    <w:basedOn w:val="DefaultParagraphFont"/>
    <w:link w:val="Footer"/>
    <w:uiPriority w:val="99"/>
    <w:qFormat/>
    <w:locked/>
    <w:rsid w:val="00B22282"/>
    <w:rPr>
      <w:rFonts w:cs="Times New Roman"/>
      <w:lang w:eastAsia="en-AU"/>
    </w:rPr>
  </w:style>
  <w:style w:type="character" w:customStyle="1" w:styleId="TitleChar">
    <w:name w:val="Title Char"/>
    <w:basedOn w:val="DefaultParagraphFont"/>
    <w:link w:val="Title"/>
    <w:uiPriority w:val="99"/>
    <w:qFormat/>
    <w:locked/>
    <w:rsid w:val="00B22282"/>
    <w:rPr>
      <w:rFonts w:ascii="Arial" w:hAnsi="Arial" w:cs="Arial"/>
      <w:b/>
      <w:bCs/>
      <w:sz w:val="28"/>
    </w:rPr>
  </w:style>
  <w:style w:type="character" w:customStyle="1" w:styleId="BodyTextChar">
    <w:name w:val="Body Text Char"/>
    <w:basedOn w:val="DefaultParagraphFont"/>
    <w:link w:val="BodyText"/>
    <w:uiPriority w:val="99"/>
    <w:qFormat/>
    <w:locked/>
    <w:rsid w:val="00B22282"/>
    <w:rPr>
      <w:rFonts w:cs="Times New Roman"/>
      <w:b/>
      <w:color w:val="000000"/>
      <w:lang w:eastAsia="en-AU"/>
    </w:rPr>
  </w:style>
  <w:style w:type="character" w:customStyle="1" w:styleId="DocumentMapChar">
    <w:name w:val="Document Map Char"/>
    <w:basedOn w:val="DefaultParagraphFont"/>
    <w:link w:val="DocumentMap"/>
    <w:uiPriority w:val="99"/>
    <w:semiHidden/>
    <w:qFormat/>
    <w:locked/>
    <w:rsid w:val="00B22282"/>
    <w:rPr>
      <w:rFonts w:ascii="Tahoma" w:hAnsi="Tahoma" w:cs="Tahoma"/>
      <w:sz w:val="20"/>
      <w:szCs w:val="20"/>
      <w:shd w:val="clear" w:color="auto" w:fill="000080"/>
      <w:lang w:eastAsia="en-AU"/>
    </w:rPr>
  </w:style>
  <w:style w:type="character" w:customStyle="1" w:styleId="BalloonTextChar">
    <w:name w:val="Balloon Text Char"/>
    <w:basedOn w:val="DefaultParagraphFont"/>
    <w:link w:val="BalloonText"/>
    <w:uiPriority w:val="99"/>
    <w:semiHidden/>
    <w:qFormat/>
    <w:locked/>
    <w:rsid w:val="00B22282"/>
    <w:rPr>
      <w:rFonts w:ascii="Tahoma" w:hAnsi="Tahoma" w:cs="Tahoma"/>
      <w:sz w:val="16"/>
      <w:szCs w:val="16"/>
      <w:lang w:eastAsia="en-AU"/>
    </w:rPr>
  </w:style>
  <w:style w:type="paragraph" w:customStyle="1" w:styleId="ListParagraph1">
    <w:name w:val="List Paragraph1"/>
    <w:basedOn w:val="Normal"/>
    <w:uiPriority w:val="34"/>
    <w:qFormat/>
    <w:rsid w:val="00B22282"/>
    <w:pPr>
      <w:ind w:left="720"/>
      <w:contextualSpacing/>
    </w:pPr>
  </w:style>
  <w:style w:type="paragraph" w:customStyle="1" w:styleId="TOCHeading1">
    <w:name w:val="TOC Heading1"/>
    <w:basedOn w:val="Heading1"/>
    <w:next w:val="Normal"/>
    <w:uiPriority w:val="99"/>
    <w:qFormat/>
    <w:rsid w:val="00B22282"/>
    <w:pPr>
      <w:keepNext/>
      <w:keepLines/>
      <w:pBdr>
        <w:bottom w:val="none" w:sz="0" w:space="0" w:color="auto"/>
      </w:pBdr>
      <w:spacing w:before="480" w:line="276" w:lineRule="auto"/>
      <w:outlineLvl w:val="9"/>
    </w:pPr>
    <w:rPr>
      <w:rFonts w:ascii="Cambria" w:eastAsia="SimSun" w:hAnsi="Cambria"/>
      <w:b/>
      <w:bCs/>
      <w:i w:val="0"/>
      <w:color w:val="365F91"/>
      <w:sz w:val="28"/>
      <w:szCs w:val="28"/>
      <w:lang w:val="en-US" w:eastAsia="en-US"/>
    </w:rPr>
  </w:style>
  <w:style w:type="paragraph" w:customStyle="1" w:styleId="body">
    <w:name w:val="body"/>
    <w:basedOn w:val="Normal"/>
    <w:uiPriority w:val="99"/>
    <w:qFormat/>
    <w:rsid w:val="00B22282"/>
    <w:pPr>
      <w:spacing w:before="100" w:beforeAutospacing="1" w:after="100" w:afterAutospacing="1"/>
    </w:pPr>
  </w:style>
  <w:style w:type="character" w:customStyle="1" w:styleId="runinhead">
    <w:name w:val="runinhead"/>
    <w:basedOn w:val="DefaultParagraphFont"/>
    <w:uiPriority w:val="99"/>
    <w:semiHidden/>
    <w:qFormat/>
    <w:rsid w:val="00B22282"/>
    <w:rPr>
      <w:rFonts w:cs="Times New Roman"/>
    </w:rPr>
  </w:style>
  <w:style w:type="table" w:customStyle="1" w:styleId="Style1">
    <w:name w:val="Style1"/>
    <w:basedOn w:val="TableSimple1"/>
    <w:uiPriority w:val="99"/>
    <w:qFormat/>
    <w:rsid w:val="00B22282"/>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paragraph" w:customStyle="1" w:styleId="Style5">
    <w:name w:val="Style5"/>
    <w:basedOn w:val="Style4"/>
    <w:uiPriority w:val="99"/>
    <w:qFormat/>
    <w:rsid w:val="00B22282"/>
    <w:pPr>
      <w:ind w:left="567" w:hanging="567"/>
    </w:pPr>
    <w:rPr>
      <w:rFonts w:cs="Helv"/>
      <w:color w:val="000000"/>
    </w:rPr>
  </w:style>
  <w:style w:type="paragraph" w:customStyle="1" w:styleId="Style8">
    <w:name w:val="Style8"/>
    <w:basedOn w:val="ListParagraph1"/>
    <w:uiPriority w:val="99"/>
    <w:qFormat/>
    <w:rsid w:val="00B22282"/>
    <w:pPr>
      <w:autoSpaceDE w:val="0"/>
      <w:autoSpaceDN w:val="0"/>
      <w:adjustRightInd w:val="0"/>
      <w:spacing w:line="360" w:lineRule="auto"/>
      <w:ind w:left="567" w:hanging="567"/>
    </w:pPr>
    <w:rPr>
      <w:rFonts w:cs="Helv"/>
      <w:b/>
      <w:color w:val="000000"/>
    </w:rPr>
  </w:style>
  <w:style w:type="paragraph" w:customStyle="1" w:styleId="Style9">
    <w:name w:val="Style9"/>
    <w:basedOn w:val="Normal"/>
    <w:uiPriority w:val="99"/>
    <w:qFormat/>
    <w:rsid w:val="00B22282"/>
    <w:rPr>
      <w:b/>
      <w:u w:val="single"/>
    </w:rPr>
  </w:style>
  <w:style w:type="paragraph" w:customStyle="1" w:styleId="Style20">
    <w:name w:val="Style 2"/>
    <w:basedOn w:val="Heading2"/>
    <w:uiPriority w:val="99"/>
    <w:qFormat/>
    <w:rsid w:val="00B22282"/>
  </w:style>
  <w:style w:type="paragraph" w:customStyle="1" w:styleId="Style11">
    <w:name w:val="Style11"/>
    <w:basedOn w:val="Title"/>
    <w:uiPriority w:val="99"/>
    <w:qFormat/>
    <w:rsid w:val="00B22282"/>
    <w:pPr>
      <w:ind w:left="567" w:hanging="567"/>
      <w:jc w:val="both"/>
    </w:pPr>
    <w:rPr>
      <w:rFonts w:ascii="Garamond" w:hAnsi="Garamond"/>
      <w:sz w:val="24"/>
    </w:rPr>
  </w:style>
  <w:style w:type="paragraph" w:customStyle="1" w:styleId="EOCquestion">
    <w:name w:val="*EOC question"/>
    <w:basedOn w:val="Normal"/>
    <w:qFormat/>
    <w:rsid w:val="00B22282"/>
    <w:pPr>
      <w:widowControl w:val="0"/>
      <w:tabs>
        <w:tab w:val="left" w:pos="850"/>
        <w:tab w:val="right" w:pos="5940"/>
        <w:tab w:val="right" w:pos="7340"/>
      </w:tabs>
      <w:suppressAutoHyphens/>
      <w:autoSpaceDE w:val="0"/>
      <w:autoSpaceDN w:val="0"/>
      <w:adjustRightInd w:val="0"/>
      <w:spacing w:line="480" w:lineRule="atLeast"/>
      <w:ind w:left="283" w:hanging="283"/>
      <w:textAlignment w:val="center"/>
    </w:pPr>
    <w:rPr>
      <w:rFonts w:ascii="HelveticaNeue-Light" w:hAnsi="HelveticaNeue-Light"/>
      <w:color w:val="000000"/>
      <w:lang w:val="en-GB"/>
    </w:rPr>
  </w:style>
  <w:style w:type="paragraph" w:customStyle="1" w:styleId="EOCTableColHead">
    <w:name w:val="*EOC Table Col Head"/>
    <w:basedOn w:val="Normal"/>
    <w:uiPriority w:val="99"/>
    <w:qFormat/>
    <w:rsid w:val="00B22282"/>
    <w:pPr>
      <w:widowControl w:val="0"/>
      <w:pBdr>
        <w:top w:val="single" w:sz="4" w:space="12" w:color="0099C7"/>
        <w:bottom w:val="single" w:sz="4" w:space="5" w:color="0099C7"/>
      </w:pBdr>
      <w:autoSpaceDE w:val="0"/>
      <w:autoSpaceDN w:val="0"/>
      <w:adjustRightInd w:val="0"/>
      <w:spacing w:before="198" w:after="142" w:line="480" w:lineRule="atLeast"/>
      <w:ind w:left="283"/>
      <w:textAlignment w:val="center"/>
    </w:pPr>
    <w:rPr>
      <w:rFonts w:ascii="HelveticaNeue-LightItalic" w:hAnsi="HelveticaNeue-LightItalic"/>
      <w:i/>
      <w:color w:val="000000"/>
      <w:lang w:val="en-GB"/>
    </w:rPr>
  </w:style>
  <w:style w:type="paragraph" w:customStyle="1" w:styleId="EOCTable">
    <w:name w:val="*EOC Table"/>
    <w:basedOn w:val="Normal"/>
    <w:uiPriority w:val="99"/>
    <w:qFormat/>
    <w:rsid w:val="00B22282"/>
    <w:pPr>
      <w:widowControl w:val="0"/>
      <w:autoSpaceDE w:val="0"/>
      <w:autoSpaceDN w:val="0"/>
      <w:adjustRightInd w:val="0"/>
      <w:spacing w:line="480" w:lineRule="atLeast"/>
      <w:ind w:left="283"/>
      <w:textAlignment w:val="center"/>
    </w:pPr>
    <w:rPr>
      <w:rFonts w:ascii="HelveticaNeue-Light" w:hAnsi="HelveticaNeue-Light"/>
      <w:color w:val="000000"/>
      <w:lang w:val="en-GB"/>
    </w:rPr>
  </w:style>
  <w:style w:type="paragraph" w:customStyle="1" w:styleId="EOCEheadrequired">
    <w:name w:val="*EOC E head (required)"/>
    <w:basedOn w:val="Normal"/>
    <w:uiPriority w:val="99"/>
    <w:qFormat/>
    <w:rsid w:val="00B22282"/>
    <w:pPr>
      <w:widowControl w:val="0"/>
      <w:tabs>
        <w:tab w:val="left" w:pos="283"/>
      </w:tabs>
      <w:suppressAutoHyphens/>
      <w:autoSpaceDE w:val="0"/>
      <w:autoSpaceDN w:val="0"/>
      <w:adjustRightInd w:val="0"/>
      <w:spacing w:before="113" w:line="480" w:lineRule="atLeast"/>
      <w:textAlignment w:val="center"/>
    </w:pPr>
    <w:rPr>
      <w:rFonts w:ascii="HelveticaNeue-Bold" w:hAnsi="HelveticaNeue-Bold"/>
      <w:b/>
      <w:color w:val="000000"/>
    </w:rPr>
  </w:style>
  <w:style w:type="paragraph" w:customStyle="1" w:styleId="EOCTablebotrule">
    <w:name w:val="*EOC Table bot rule"/>
    <w:basedOn w:val="Normal"/>
    <w:uiPriority w:val="99"/>
    <w:qFormat/>
    <w:rsid w:val="00B22282"/>
    <w:pPr>
      <w:widowControl w:val="0"/>
      <w:pBdr>
        <w:bottom w:val="single" w:sz="4" w:space="8" w:color="0099C7"/>
      </w:pBdr>
      <w:autoSpaceDE w:val="0"/>
      <w:autoSpaceDN w:val="0"/>
      <w:adjustRightInd w:val="0"/>
      <w:spacing w:line="480" w:lineRule="atLeast"/>
      <w:ind w:left="283"/>
      <w:textAlignment w:val="center"/>
    </w:pPr>
    <w:rPr>
      <w:rFonts w:ascii="HelveticaNeue-Light" w:hAnsi="HelveticaNeue-Light"/>
      <w:color w:val="000000"/>
      <w:lang w:val="en-GB"/>
    </w:rPr>
  </w:style>
  <w:style w:type="paragraph" w:customStyle="1" w:styleId="EOCquestionsub">
    <w:name w:val="*EOC question sub"/>
    <w:basedOn w:val="Normal"/>
    <w:uiPriority w:val="99"/>
    <w:qFormat/>
    <w:rsid w:val="00B22282"/>
    <w:pPr>
      <w:widowControl w:val="0"/>
      <w:tabs>
        <w:tab w:val="right" w:pos="170"/>
        <w:tab w:val="left" w:pos="283"/>
        <w:tab w:val="left" w:pos="567"/>
      </w:tabs>
      <w:suppressAutoHyphens/>
      <w:autoSpaceDE w:val="0"/>
      <w:autoSpaceDN w:val="0"/>
      <w:adjustRightInd w:val="0"/>
      <w:spacing w:line="480" w:lineRule="atLeast"/>
      <w:ind w:left="567" w:hanging="283"/>
      <w:textAlignment w:val="center"/>
    </w:pPr>
    <w:rPr>
      <w:rFonts w:ascii="HelveticaNeue-Light" w:hAnsi="HelveticaNeue-Light"/>
      <w:color w:val="000000"/>
      <w:lang w:val="en-GB"/>
    </w:rPr>
  </w:style>
  <w:style w:type="character" w:customStyle="1" w:styleId="RulesTopBot">
    <w:name w:val="*Rules Top/Bot"/>
    <w:uiPriority w:val="99"/>
    <w:qFormat/>
    <w:rsid w:val="00B22282"/>
    <w:rPr>
      <w:sz w:val="24"/>
      <w:u w:val="double" w:color="000000"/>
    </w:rPr>
  </w:style>
  <w:style w:type="character" w:customStyle="1" w:styleId="RulesBot">
    <w:name w:val="*Rules Bot"/>
    <w:basedOn w:val="RulesTopBot"/>
    <w:uiPriority w:val="99"/>
    <w:qFormat/>
    <w:rsid w:val="00B22282"/>
    <w:rPr>
      <w:rFonts w:cs="Times New Roman"/>
      <w:sz w:val="24"/>
      <w:u w:val="double" w:color="000000"/>
    </w:rPr>
  </w:style>
  <w:style w:type="character" w:customStyle="1" w:styleId="CommentTextChar">
    <w:name w:val="Comment Text Char"/>
    <w:basedOn w:val="DefaultParagraphFont"/>
    <w:link w:val="CommentText"/>
    <w:uiPriority w:val="99"/>
    <w:semiHidden/>
    <w:qFormat/>
    <w:locked/>
    <w:rsid w:val="00B22282"/>
    <w:rPr>
      <w:rFonts w:ascii="Times" w:hAnsi="Times" w:cs="Times New Roman"/>
    </w:rPr>
  </w:style>
  <w:style w:type="character" w:customStyle="1" w:styleId="CommentSubjectChar">
    <w:name w:val="Comment Subject Char"/>
    <w:basedOn w:val="CommentTextChar"/>
    <w:link w:val="CommentSubject"/>
    <w:uiPriority w:val="99"/>
    <w:semiHidden/>
    <w:qFormat/>
    <w:locked/>
    <w:rsid w:val="00B22282"/>
    <w:rPr>
      <w:rFonts w:ascii="Times" w:hAnsi="Times" w:cs="Times New Roman"/>
      <w:b/>
      <w:bCs/>
    </w:rPr>
  </w:style>
  <w:style w:type="paragraph" w:customStyle="1" w:styleId="Revision1">
    <w:name w:val="Revision1"/>
    <w:hidden/>
    <w:uiPriority w:val="99"/>
    <w:semiHidden/>
    <w:qFormat/>
    <w:rsid w:val="00B22282"/>
    <w:pPr>
      <w:spacing w:after="160" w:line="259" w:lineRule="auto"/>
    </w:pPr>
    <w:rPr>
      <w:rFonts w:ascii="Times" w:eastAsiaTheme="minorEastAsia" w:hAnsi="Times"/>
      <w:sz w:val="24"/>
      <w:lang w:val="en-AU" w:eastAsia="en-AU"/>
    </w:rPr>
  </w:style>
  <w:style w:type="paragraph" w:customStyle="1" w:styleId="Discquestions01">
    <w:name w:val="Disc. questions 01."/>
    <w:qFormat/>
    <w:rsid w:val="00B22282"/>
    <w:pPr>
      <w:tabs>
        <w:tab w:val="left" w:pos="340"/>
      </w:tabs>
      <w:autoSpaceDE w:val="0"/>
      <w:autoSpaceDN w:val="0"/>
      <w:adjustRightInd w:val="0"/>
      <w:spacing w:after="160" w:line="240" w:lineRule="atLeast"/>
      <w:ind w:left="340" w:hanging="340"/>
      <w:jc w:val="both"/>
    </w:pPr>
    <w:rPr>
      <w:rFonts w:ascii="Agfa Rotis Serif" w:eastAsia="Times New Roman" w:hAnsi="Agfa Rotis Serif"/>
      <w:color w:val="000000"/>
      <w:w w:val="0"/>
      <w:lang w:val="en-GB" w:eastAsia="en-US"/>
    </w:rPr>
  </w:style>
  <w:style w:type="paragraph" w:customStyle="1" w:styleId="ListParagraph2">
    <w:name w:val="List Paragraph2"/>
    <w:basedOn w:val="Normal"/>
    <w:uiPriority w:val="99"/>
    <w:qFormat/>
    <w:rsid w:val="00B22282"/>
    <w:pPr>
      <w:ind w:left="720"/>
      <w:contextualSpacing/>
    </w:pPr>
  </w:style>
  <w:style w:type="paragraph" w:customStyle="1" w:styleId="ListParagraph3">
    <w:name w:val="List Paragraph3"/>
    <w:basedOn w:val="Normal"/>
    <w:uiPriority w:val="99"/>
    <w:unhideWhenUsed/>
    <w:rsid w:val="00B2228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D085B-AF52-4B33-AF10-D4570E02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2103AFE Company Accounting</vt:lpstr>
    </vt:vector>
  </TitlesOfParts>
  <Company>Griffith University</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2103AFE Company Accounting</dc:title>
  <dc:subject/>
  <dc:creator>Eloise Perini</dc:creator>
  <cp:keywords/>
  <dc:description/>
  <cp:lastModifiedBy>Kyungsoo</cp:lastModifiedBy>
  <cp:revision>1</cp:revision>
  <cp:lastPrinted>2017-05-01T05:55:00Z</cp:lastPrinted>
  <dcterms:created xsi:type="dcterms:W3CDTF">2017-04-20T03:26:00Z</dcterms:created>
  <dcterms:modified xsi:type="dcterms:W3CDTF">2017-05-12T14:10:00Z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